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4DAA" w14:textId="77777777" w:rsidR="006219C6" w:rsidRPr="001D57ED"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53858" w:rsidRPr="001D57ED">
        <w:rPr>
          <w:b/>
          <w:color w:val="auto"/>
          <w:spacing w:val="-3"/>
          <w:sz w:val="32"/>
          <w:szCs w:val="32"/>
          <w:u w:val="single"/>
        </w:rPr>
        <w:t>Department of Services for the Blind</w:t>
      </w:r>
    </w:p>
    <w:p w14:paraId="4BE472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6013A5B" w14:textId="28B5BB2E"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753858" w:rsidRPr="001D57ED">
        <w:rPr>
          <w:color w:val="auto"/>
          <w:szCs w:val="22"/>
        </w:rPr>
        <w:t>Department of Services for the Blind</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6D5498">
        <w:rPr>
          <w:szCs w:val="22"/>
        </w:rPr>
        <w:t>providing training, counseling, and support to help Washington residents of all ages, who are blind or visually impaired, pursue employment, education, and independent living</w:t>
      </w:r>
      <w:r w:rsidR="006D5498" w:rsidRPr="00620170">
        <w:rPr>
          <w:color w:val="auto"/>
          <w:szCs w:val="22"/>
        </w:rPr>
        <w:t>.</w:t>
      </w:r>
      <w:r w:rsidR="006D549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advisory council records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news clippings/releases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media releases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organization charts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p>
    <w:p w14:paraId="482874BF"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313AC5C"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4C8319F"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F245F53" w14:textId="77777777" w:rsidR="00F23239" w:rsidRDefault="00F23239" w:rsidP="008035F0">
      <w:pPr>
        <w:rPr>
          <w:bCs/>
          <w:szCs w:val="22"/>
        </w:rPr>
      </w:pPr>
    </w:p>
    <w:p w14:paraId="3169E6B1"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6C3F1BC" w14:textId="77777777" w:rsidR="003E362F" w:rsidRPr="00310173" w:rsidRDefault="003E362F" w:rsidP="008035F0">
      <w:pPr>
        <w:rPr>
          <w:bCs/>
          <w:szCs w:val="22"/>
        </w:rPr>
      </w:pPr>
    </w:p>
    <w:p w14:paraId="661DA68A" w14:textId="77777777" w:rsidR="009015F7" w:rsidRPr="00C04DC1" w:rsidRDefault="009015F7" w:rsidP="009015F7">
      <w:pPr>
        <w:jc w:val="both"/>
        <w:rPr>
          <w:b/>
          <w:szCs w:val="22"/>
        </w:rPr>
      </w:pPr>
      <w:r w:rsidRPr="00C04DC1">
        <w:rPr>
          <w:b/>
          <w:szCs w:val="22"/>
        </w:rPr>
        <w:t>Revocation of previously issued records retention schedules</w:t>
      </w:r>
    </w:p>
    <w:p w14:paraId="1A8AF5E5"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753858" w:rsidRPr="001D57ED">
        <w:rPr>
          <w:color w:val="auto"/>
          <w:szCs w:val="22"/>
        </w:rPr>
        <w:t>Department of Services for the Blind</w:t>
      </w:r>
      <w:r w:rsidR="005723A7">
        <w:rPr>
          <w:color w:val="FF0000"/>
          <w:szCs w:val="22"/>
        </w:rPr>
        <w:t xml:space="preserve"> </w:t>
      </w:r>
      <w:r w:rsidRPr="00C04DC1">
        <w:rPr>
          <w:szCs w:val="22"/>
        </w:rPr>
        <w:t xml:space="preserve">are revoked. </w:t>
      </w:r>
      <w:r w:rsidR="002E2126">
        <w:rPr>
          <w:szCs w:val="22"/>
        </w:rPr>
        <w:t xml:space="preserve">The </w:t>
      </w:r>
      <w:r w:rsidR="00753858" w:rsidRPr="001D57ED">
        <w:rPr>
          <w:color w:val="auto"/>
          <w:szCs w:val="22"/>
        </w:rPr>
        <w:t>Department of Services for the Blind</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60080C09" w14:textId="77777777" w:rsidR="009015F7" w:rsidRPr="00C04DC1" w:rsidRDefault="009015F7" w:rsidP="009015F7">
      <w:pPr>
        <w:jc w:val="both"/>
        <w:rPr>
          <w:szCs w:val="22"/>
        </w:rPr>
      </w:pPr>
    </w:p>
    <w:p w14:paraId="2FC297CD" w14:textId="77777777" w:rsidR="009015F7" w:rsidRPr="00C04DC1" w:rsidRDefault="009015F7" w:rsidP="009015F7">
      <w:pPr>
        <w:jc w:val="both"/>
        <w:rPr>
          <w:b/>
          <w:bCs/>
          <w:szCs w:val="22"/>
        </w:rPr>
      </w:pPr>
      <w:r w:rsidRPr="00C04DC1">
        <w:rPr>
          <w:b/>
          <w:bCs/>
          <w:szCs w:val="22"/>
        </w:rPr>
        <w:t>Authority</w:t>
      </w:r>
    </w:p>
    <w:p w14:paraId="574667D7"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D0685C">
        <w:rPr>
          <w:color w:val="auto"/>
          <w:szCs w:val="22"/>
        </w:rPr>
        <w:t>March 1</w:t>
      </w:r>
      <w:r w:rsidR="004A15BA">
        <w:rPr>
          <w:color w:val="auto"/>
          <w:szCs w:val="22"/>
        </w:rPr>
        <w:t>, 201</w:t>
      </w:r>
      <w:r w:rsidR="00D0685C">
        <w:rPr>
          <w:color w:val="auto"/>
          <w:szCs w:val="22"/>
        </w:rPr>
        <w:t>7</w:t>
      </w:r>
      <w:r w:rsidRPr="00023B3E">
        <w:rPr>
          <w:color w:val="auto"/>
          <w:szCs w:val="22"/>
        </w:rPr>
        <w:t>.</w:t>
      </w:r>
    </w:p>
    <w:p w14:paraId="430A912D"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67D7A14" w14:textId="77777777" w:rsidTr="003E362F">
        <w:trPr>
          <w:trHeight w:val="320"/>
        </w:trPr>
        <w:tc>
          <w:tcPr>
            <w:tcW w:w="3602" w:type="dxa"/>
            <w:shd w:val="clear" w:color="auto" w:fill="auto"/>
            <w:tcMar>
              <w:top w:w="40" w:type="dxa"/>
              <w:left w:w="40" w:type="dxa"/>
              <w:bottom w:w="40" w:type="dxa"/>
              <w:right w:w="40" w:type="dxa"/>
            </w:tcMar>
          </w:tcPr>
          <w:p w14:paraId="07703EAC" w14:textId="77777777" w:rsidR="003E362F" w:rsidRDefault="003E362F" w:rsidP="00EA5ACB">
            <w:pPr>
              <w:tabs>
                <w:tab w:val="left" w:pos="540"/>
                <w:tab w:val="left" w:pos="5670"/>
                <w:tab w:val="left" w:pos="10890"/>
              </w:tabs>
              <w:ind w:left="43"/>
              <w:jc w:val="center"/>
              <w:rPr>
                <w:bCs/>
                <w:i/>
                <w:color w:val="404040"/>
                <w:sz w:val="23"/>
                <w:szCs w:val="23"/>
              </w:rPr>
            </w:pPr>
          </w:p>
          <w:p w14:paraId="7820FF5C" w14:textId="466D5EC9" w:rsidR="003658B7" w:rsidRPr="003E362F" w:rsidRDefault="003C67A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4F15313"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90CD40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C2FA986"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2B87595D" w14:textId="77777777" w:rsidR="003E362F" w:rsidRDefault="003E362F" w:rsidP="00EA5ACB">
            <w:pPr>
              <w:tabs>
                <w:tab w:val="left" w:pos="180"/>
                <w:tab w:val="left" w:pos="5310"/>
                <w:tab w:val="left" w:pos="10440"/>
              </w:tabs>
              <w:jc w:val="center"/>
              <w:rPr>
                <w:bCs/>
                <w:i/>
                <w:color w:val="404040"/>
                <w:sz w:val="23"/>
                <w:szCs w:val="23"/>
              </w:rPr>
            </w:pPr>
          </w:p>
          <w:p w14:paraId="027C1CE8" w14:textId="6CDA1497" w:rsidR="003658B7" w:rsidRPr="003E362F" w:rsidRDefault="003C67A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E6D94C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CF1350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C8BB724" w14:textId="77777777"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26FDAE15" w14:textId="77777777" w:rsidR="003E362F" w:rsidRDefault="003E362F" w:rsidP="003E362F">
            <w:pPr>
              <w:tabs>
                <w:tab w:val="left" w:pos="180"/>
                <w:tab w:val="left" w:pos="5310"/>
                <w:tab w:val="left" w:pos="10440"/>
              </w:tabs>
              <w:jc w:val="center"/>
              <w:rPr>
                <w:bCs/>
                <w:i/>
                <w:color w:val="404040"/>
                <w:sz w:val="23"/>
                <w:szCs w:val="23"/>
              </w:rPr>
            </w:pPr>
          </w:p>
          <w:p w14:paraId="6D0C1279" w14:textId="0554E151" w:rsidR="003658B7" w:rsidRPr="00E86BDE" w:rsidRDefault="003C67AA"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032DAAA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9F8F53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EE49820" w14:textId="77777777"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Shane</w:t>
            </w:r>
            <w:r w:rsidR="00AA62DB">
              <w:rPr>
                <w:b/>
                <w:bCs/>
                <w:sz w:val="20"/>
                <w:szCs w:val="20"/>
              </w:rPr>
              <w:t xml:space="preserve"> </w:t>
            </w:r>
            <w:r>
              <w:rPr>
                <w:b/>
                <w:bCs/>
                <w:sz w:val="20"/>
                <w:szCs w:val="20"/>
              </w:rPr>
              <w:t>Hamlin</w:t>
            </w:r>
          </w:p>
        </w:tc>
        <w:tc>
          <w:tcPr>
            <w:tcW w:w="3603" w:type="dxa"/>
            <w:shd w:val="clear" w:color="auto" w:fill="auto"/>
          </w:tcPr>
          <w:p w14:paraId="12ACDD3C" w14:textId="77777777" w:rsidR="003E362F" w:rsidRDefault="003E362F" w:rsidP="00EA5ACB">
            <w:pPr>
              <w:tabs>
                <w:tab w:val="left" w:pos="180"/>
                <w:tab w:val="left" w:pos="5310"/>
                <w:tab w:val="left" w:pos="10440"/>
              </w:tabs>
              <w:jc w:val="center"/>
              <w:rPr>
                <w:bCs/>
                <w:i/>
                <w:color w:val="404040"/>
                <w:sz w:val="23"/>
                <w:szCs w:val="23"/>
              </w:rPr>
            </w:pPr>
          </w:p>
          <w:p w14:paraId="0CAFF452" w14:textId="245488AA" w:rsidR="003658B7" w:rsidRPr="00E86BDE" w:rsidRDefault="003C67A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53C9B62"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21D98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AA2E6CF"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06C113CE" w14:textId="77777777" w:rsidR="009D6050" w:rsidRPr="00FD0D28" w:rsidRDefault="009D6050" w:rsidP="00FD0D28">
      <w:pPr>
        <w:pStyle w:val="StyleNormal16NotBold"/>
        <w:spacing w:after="0"/>
        <w:rPr>
          <w:sz w:val="22"/>
          <w:szCs w:val="22"/>
        </w:rPr>
      </w:pPr>
    </w:p>
    <w:p w14:paraId="382184B4"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2CFA48F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8ECB013"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B2BBC12"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7DAB90F" w14:textId="77777777" w:rsidR="0019371A" w:rsidRPr="00C04DC1" w:rsidRDefault="0019371A" w:rsidP="00EE7625">
            <w:pPr>
              <w:jc w:val="center"/>
              <w:rPr>
                <w:szCs w:val="22"/>
              </w:rPr>
            </w:pPr>
            <w:r w:rsidRPr="00C04DC1">
              <w:rPr>
                <w:szCs w:val="22"/>
              </w:rPr>
              <w:t>Extent of Revision</w:t>
            </w:r>
          </w:p>
        </w:tc>
      </w:tr>
      <w:tr w:rsidR="00C44D86" w:rsidRPr="00C04DC1" w14:paraId="15D243EB"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8CE27BD"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7D748BD" w14:textId="77777777" w:rsidR="00C44D86" w:rsidRPr="006D5498" w:rsidRDefault="00D0685C" w:rsidP="00D0685C">
            <w:pPr>
              <w:spacing w:before="60" w:after="60"/>
              <w:jc w:val="center"/>
              <w:rPr>
                <w:szCs w:val="22"/>
              </w:rPr>
            </w:pPr>
            <w:r>
              <w:rPr>
                <w:szCs w:val="22"/>
              </w:rPr>
              <w:t>March 1</w:t>
            </w:r>
            <w:r w:rsidR="006D5498" w:rsidRPr="006D5498">
              <w:rPr>
                <w:szCs w:val="22"/>
              </w:rPr>
              <w:t>, 201</w:t>
            </w:r>
            <w:r>
              <w:rPr>
                <w:szCs w:val="22"/>
              </w:rPr>
              <w:t>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90E54A6"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3E843928" w14:textId="77777777" w:rsidR="0019371A" w:rsidRPr="00C04DC1" w:rsidRDefault="0019371A" w:rsidP="0019371A"/>
    <w:p w14:paraId="71918281" w14:textId="77777777" w:rsidR="0019371A" w:rsidRPr="00C04DC1" w:rsidRDefault="0019371A" w:rsidP="0019371A"/>
    <w:p w14:paraId="764879EF" w14:textId="77777777" w:rsidR="00E86BDE" w:rsidRDefault="00E86BDE" w:rsidP="0019371A"/>
    <w:p w14:paraId="557AB564" w14:textId="77777777" w:rsidR="006852E3" w:rsidRDefault="006852E3" w:rsidP="006D5498">
      <w:pPr>
        <w:spacing w:line="360" w:lineRule="auto"/>
        <w:jc w:val="center"/>
        <w:rPr>
          <w:sz w:val="36"/>
          <w:szCs w:val="36"/>
        </w:rPr>
      </w:pPr>
    </w:p>
    <w:p w14:paraId="5F8DA900" w14:textId="77777777" w:rsidR="006852E3" w:rsidRDefault="006D5498" w:rsidP="006D5498">
      <w:pPr>
        <w:spacing w:line="360" w:lineRule="auto"/>
        <w:jc w:val="center"/>
        <w:rPr>
          <w:sz w:val="36"/>
          <w:szCs w:val="36"/>
        </w:rPr>
      </w:pPr>
      <w:r w:rsidRPr="00BC498E">
        <w:rPr>
          <w:sz w:val="36"/>
          <w:szCs w:val="36"/>
        </w:rPr>
        <w:t>For assistance and advice in applying this records retention schedule,</w:t>
      </w:r>
    </w:p>
    <w:p w14:paraId="58993F83" w14:textId="77777777" w:rsidR="006D5498" w:rsidRDefault="006D5498" w:rsidP="006D5498">
      <w:pPr>
        <w:spacing w:line="360" w:lineRule="auto"/>
        <w:jc w:val="center"/>
        <w:rPr>
          <w:sz w:val="36"/>
          <w:szCs w:val="36"/>
        </w:rPr>
      </w:pPr>
      <w:r w:rsidRPr="00BC498E">
        <w:rPr>
          <w:sz w:val="36"/>
          <w:szCs w:val="36"/>
        </w:rPr>
        <w:t xml:space="preserve">please contact </w:t>
      </w:r>
      <w:r>
        <w:rPr>
          <w:sz w:val="36"/>
          <w:szCs w:val="36"/>
        </w:rPr>
        <w:t xml:space="preserve">the </w:t>
      </w:r>
      <w:r w:rsidRPr="00305664">
        <w:rPr>
          <w:sz w:val="36"/>
          <w:szCs w:val="36"/>
        </w:rPr>
        <w:t>Department of Services for the Blind</w:t>
      </w:r>
      <w:r>
        <w:rPr>
          <w:sz w:val="36"/>
          <w:szCs w:val="36"/>
        </w:rPr>
        <w:t xml:space="preserve">’s Records Officer </w:t>
      </w:r>
    </w:p>
    <w:p w14:paraId="0A266E9E" w14:textId="77777777" w:rsidR="006852E3" w:rsidRDefault="006D5498" w:rsidP="006D5498">
      <w:pPr>
        <w:spacing w:line="360" w:lineRule="auto"/>
        <w:jc w:val="center"/>
        <w:rPr>
          <w:sz w:val="36"/>
          <w:szCs w:val="36"/>
        </w:rPr>
      </w:pPr>
      <w:r>
        <w:rPr>
          <w:sz w:val="36"/>
          <w:szCs w:val="36"/>
        </w:rPr>
        <w:t xml:space="preserve">or </w:t>
      </w:r>
      <w:r w:rsidRPr="00BC498E">
        <w:rPr>
          <w:sz w:val="36"/>
          <w:szCs w:val="36"/>
        </w:rPr>
        <w:t>Washington State Archives at:</w:t>
      </w:r>
    </w:p>
    <w:p w14:paraId="7F6E57B2" w14:textId="77777777" w:rsidR="006D5498" w:rsidRDefault="006D5498" w:rsidP="006D5498">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47273FA0" w14:textId="77777777" w:rsidR="006D5498" w:rsidRDefault="006D5498">
      <w:pPr>
        <w:rPr>
          <w:sz w:val="36"/>
          <w:szCs w:val="36"/>
        </w:rPr>
      </w:pPr>
      <w:r>
        <w:rPr>
          <w:sz w:val="36"/>
          <w:szCs w:val="36"/>
        </w:rPr>
        <w:br w:type="page"/>
      </w:r>
    </w:p>
    <w:p w14:paraId="47C0AF9F"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61E4014" w14:textId="77777777" w:rsidR="006852E3"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66973715" w:history="1">
        <w:r w:rsidR="006852E3" w:rsidRPr="00161452">
          <w:rPr>
            <w:rStyle w:val="Hyperlink"/>
            <w:noProof/>
          </w:rPr>
          <w:t>1.</w:t>
        </w:r>
        <w:r w:rsidR="006852E3">
          <w:rPr>
            <w:rFonts w:asciiTheme="minorHAnsi" w:eastAsiaTheme="minorEastAsia" w:hAnsiTheme="minorHAnsi" w:cstheme="minorBidi"/>
            <w:b w:val="0"/>
            <w:bCs w:val="0"/>
            <w:caps w:val="0"/>
            <w:noProof/>
            <w:color w:val="auto"/>
            <w:sz w:val="22"/>
            <w:szCs w:val="22"/>
          </w:rPr>
          <w:tab/>
        </w:r>
        <w:r w:rsidR="006852E3" w:rsidRPr="00161452">
          <w:rPr>
            <w:rStyle w:val="Hyperlink"/>
            <w:noProof/>
          </w:rPr>
          <w:t>BUSINESS ENTERPRISE PROGRAM MANAGEMENT</w:t>
        </w:r>
        <w:r w:rsidR="006852E3">
          <w:rPr>
            <w:noProof/>
            <w:webHidden/>
          </w:rPr>
          <w:tab/>
        </w:r>
        <w:r w:rsidR="006852E3">
          <w:rPr>
            <w:noProof/>
            <w:webHidden/>
          </w:rPr>
          <w:fldChar w:fldCharType="begin"/>
        </w:r>
        <w:r w:rsidR="006852E3">
          <w:rPr>
            <w:noProof/>
            <w:webHidden/>
          </w:rPr>
          <w:instrText xml:space="preserve"> PAGEREF _Toc466973715 \h </w:instrText>
        </w:r>
        <w:r w:rsidR="006852E3">
          <w:rPr>
            <w:noProof/>
            <w:webHidden/>
          </w:rPr>
        </w:r>
        <w:r w:rsidR="006852E3">
          <w:rPr>
            <w:noProof/>
            <w:webHidden/>
          </w:rPr>
          <w:fldChar w:fldCharType="separate"/>
        </w:r>
        <w:r w:rsidR="003C67AA">
          <w:rPr>
            <w:noProof/>
            <w:webHidden/>
          </w:rPr>
          <w:t>4</w:t>
        </w:r>
        <w:r w:rsidR="006852E3">
          <w:rPr>
            <w:noProof/>
            <w:webHidden/>
          </w:rPr>
          <w:fldChar w:fldCharType="end"/>
        </w:r>
      </w:hyperlink>
    </w:p>
    <w:p w14:paraId="118D0687" w14:textId="77777777" w:rsidR="006852E3" w:rsidRDefault="006852E3">
      <w:pPr>
        <w:pStyle w:val="TOC1"/>
        <w:rPr>
          <w:rFonts w:asciiTheme="minorHAnsi" w:eastAsiaTheme="minorEastAsia" w:hAnsiTheme="minorHAnsi" w:cstheme="minorBidi"/>
          <w:b w:val="0"/>
          <w:bCs w:val="0"/>
          <w:caps w:val="0"/>
          <w:noProof/>
          <w:color w:val="auto"/>
          <w:sz w:val="22"/>
          <w:szCs w:val="22"/>
        </w:rPr>
      </w:pPr>
      <w:hyperlink w:anchor="_Toc466973716" w:history="1">
        <w:r w:rsidRPr="00161452">
          <w:rPr>
            <w:rStyle w:val="Hyperlink"/>
            <w:noProof/>
          </w:rPr>
          <w:t>2.</w:t>
        </w:r>
        <w:r>
          <w:rPr>
            <w:rFonts w:asciiTheme="minorHAnsi" w:eastAsiaTheme="minorEastAsia" w:hAnsiTheme="minorHAnsi" w:cstheme="minorBidi"/>
            <w:b w:val="0"/>
            <w:bCs w:val="0"/>
            <w:caps w:val="0"/>
            <w:noProof/>
            <w:color w:val="auto"/>
            <w:sz w:val="22"/>
            <w:szCs w:val="22"/>
          </w:rPr>
          <w:tab/>
        </w:r>
        <w:r w:rsidRPr="00161452">
          <w:rPr>
            <w:rStyle w:val="Hyperlink"/>
            <w:noProof/>
          </w:rPr>
          <w:t>CASE MANAGEMENT</w:t>
        </w:r>
        <w:r>
          <w:rPr>
            <w:noProof/>
            <w:webHidden/>
          </w:rPr>
          <w:tab/>
        </w:r>
        <w:r>
          <w:rPr>
            <w:noProof/>
            <w:webHidden/>
          </w:rPr>
          <w:fldChar w:fldCharType="begin"/>
        </w:r>
        <w:r>
          <w:rPr>
            <w:noProof/>
            <w:webHidden/>
          </w:rPr>
          <w:instrText xml:space="preserve"> PAGEREF _Toc466973716 \h </w:instrText>
        </w:r>
        <w:r>
          <w:rPr>
            <w:noProof/>
            <w:webHidden/>
          </w:rPr>
        </w:r>
        <w:r>
          <w:rPr>
            <w:noProof/>
            <w:webHidden/>
          </w:rPr>
          <w:fldChar w:fldCharType="separate"/>
        </w:r>
        <w:r w:rsidR="003C67AA">
          <w:rPr>
            <w:noProof/>
            <w:webHidden/>
          </w:rPr>
          <w:t>5</w:t>
        </w:r>
        <w:r>
          <w:rPr>
            <w:noProof/>
            <w:webHidden/>
          </w:rPr>
          <w:fldChar w:fldCharType="end"/>
        </w:r>
      </w:hyperlink>
    </w:p>
    <w:p w14:paraId="6A40128D" w14:textId="77777777" w:rsidR="006852E3" w:rsidRDefault="006852E3">
      <w:pPr>
        <w:pStyle w:val="TOC1"/>
        <w:rPr>
          <w:rFonts w:asciiTheme="minorHAnsi" w:eastAsiaTheme="minorEastAsia" w:hAnsiTheme="minorHAnsi" w:cstheme="minorBidi"/>
          <w:b w:val="0"/>
          <w:bCs w:val="0"/>
          <w:caps w:val="0"/>
          <w:noProof/>
          <w:color w:val="auto"/>
          <w:sz w:val="22"/>
          <w:szCs w:val="22"/>
        </w:rPr>
      </w:pPr>
      <w:hyperlink w:anchor="_Toc466973717" w:history="1">
        <w:r w:rsidRPr="00161452">
          <w:rPr>
            <w:rStyle w:val="Hyperlink"/>
            <w:noProof/>
          </w:rPr>
          <w:t>glossary</w:t>
        </w:r>
        <w:r>
          <w:rPr>
            <w:noProof/>
            <w:webHidden/>
          </w:rPr>
          <w:tab/>
        </w:r>
        <w:r>
          <w:rPr>
            <w:noProof/>
            <w:webHidden/>
          </w:rPr>
          <w:fldChar w:fldCharType="begin"/>
        </w:r>
        <w:r>
          <w:rPr>
            <w:noProof/>
            <w:webHidden/>
          </w:rPr>
          <w:instrText xml:space="preserve"> PAGEREF _Toc466973717 \h </w:instrText>
        </w:r>
        <w:r>
          <w:rPr>
            <w:noProof/>
            <w:webHidden/>
          </w:rPr>
        </w:r>
        <w:r>
          <w:rPr>
            <w:noProof/>
            <w:webHidden/>
          </w:rPr>
          <w:fldChar w:fldCharType="separate"/>
        </w:r>
        <w:r w:rsidR="003C67AA">
          <w:rPr>
            <w:noProof/>
            <w:webHidden/>
          </w:rPr>
          <w:t>6</w:t>
        </w:r>
        <w:r>
          <w:rPr>
            <w:noProof/>
            <w:webHidden/>
          </w:rPr>
          <w:fldChar w:fldCharType="end"/>
        </w:r>
      </w:hyperlink>
    </w:p>
    <w:p w14:paraId="37149D31" w14:textId="77777777" w:rsidR="006852E3" w:rsidRDefault="006852E3">
      <w:pPr>
        <w:pStyle w:val="TOC1"/>
        <w:rPr>
          <w:rFonts w:asciiTheme="minorHAnsi" w:eastAsiaTheme="minorEastAsia" w:hAnsiTheme="minorHAnsi" w:cstheme="minorBidi"/>
          <w:b w:val="0"/>
          <w:bCs w:val="0"/>
          <w:caps w:val="0"/>
          <w:noProof/>
          <w:color w:val="auto"/>
          <w:sz w:val="22"/>
          <w:szCs w:val="22"/>
        </w:rPr>
      </w:pPr>
      <w:hyperlink w:anchor="_Toc466973718" w:history="1">
        <w:r w:rsidRPr="00161452">
          <w:rPr>
            <w:rStyle w:val="Hyperlink"/>
            <w:noProof/>
          </w:rPr>
          <w:t>INDEXES</w:t>
        </w:r>
        <w:r>
          <w:rPr>
            <w:noProof/>
            <w:webHidden/>
          </w:rPr>
          <w:tab/>
        </w:r>
        <w:r>
          <w:rPr>
            <w:noProof/>
            <w:webHidden/>
          </w:rPr>
          <w:fldChar w:fldCharType="begin"/>
        </w:r>
        <w:r>
          <w:rPr>
            <w:noProof/>
            <w:webHidden/>
          </w:rPr>
          <w:instrText xml:space="preserve"> PAGEREF _Toc466973718 \h </w:instrText>
        </w:r>
        <w:r>
          <w:rPr>
            <w:noProof/>
            <w:webHidden/>
          </w:rPr>
        </w:r>
        <w:r>
          <w:rPr>
            <w:noProof/>
            <w:webHidden/>
          </w:rPr>
          <w:fldChar w:fldCharType="separate"/>
        </w:r>
        <w:r w:rsidR="003C67AA">
          <w:rPr>
            <w:noProof/>
            <w:webHidden/>
          </w:rPr>
          <w:t>9</w:t>
        </w:r>
        <w:r>
          <w:rPr>
            <w:noProof/>
            <w:webHidden/>
          </w:rPr>
          <w:fldChar w:fldCharType="end"/>
        </w:r>
      </w:hyperlink>
    </w:p>
    <w:p w14:paraId="2CDF1ED8" w14:textId="77777777" w:rsidR="00F31296" w:rsidRDefault="002374C7" w:rsidP="00F31296">
      <w:pPr>
        <w:pStyle w:val="TOC1"/>
      </w:pPr>
      <w:r w:rsidRPr="00C04DC1">
        <w:rPr>
          <w:bCs w:val="0"/>
          <w:caps w:val="0"/>
        </w:rPr>
        <w:fldChar w:fldCharType="end"/>
      </w:r>
    </w:p>
    <w:p w14:paraId="06AF073C" w14:textId="77777777" w:rsidR="00F31296" w:rsidRPr="00F31296" w:rsidRDefault="00F31296" w:rsidP="00F31296"/>
    <w:p w14:paraId="03B53635" w14:textId="77777777" w:rsidR="00415D5C" w:rsidRPr="00C04DC1" w:rsidRDefault="00415D5C" w:rsidP="00F31296">
      <w:pPr>
        <w:sectPr w:rsidR="00415D5C"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59ED4593" w14:textId="77777777" w:rsidR="006219C6" w:rsidRPr="00EE059D" w:rsidRDefault="00601C80" w:rsidP="006219C6">
      <w:pPr>
        <w:pStyle w:val="Functions"/>
        <w:rPr>
          <w:color w:val="auto"/>
        </w:rPr>
      </w:pPr>
      <w:bookmarkStart w:id="0" w:name="_Toc466973715"/>
      <w:r>
        <w:rPr>
          <w:color w:val="auto"/>
        </w:rPr>
        <w:lastRenderedPageBreak/>
        <w:t>BUSINESS ENTERPRISE PROGRAM MANAGEMENT</w:t>
      </w:r>
      <w:bookmarkEnd w:id="0"/>
    </w:p>
    <w:p w14:paraId="7E930CB0" w14:textId="6ED87F50"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601C80">
        <w:rPr>
          <w:color w:val="auto"/>
        </w:rPr>
        <w:t>the management of the Business Enterprise Program which provides opportunities for qualified legally</w:t>
      </w:r>
      <w:r w:rsidR="00182EBE">
        <w:rPr>
          <w:color w:val="auto"/>
        </w:rPr>
        <w:t xml:space="preserve"> </w:t>
      </w:r>
      <w:r w:rsidR="00601C80">
        <w:rPr>
          <w:color w:val="auto"/>
        </w:rPr>
        <w:t>blind adults to operate food service businesses in government buildings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D72DE3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A5AB88A"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668909"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A3DE42"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5E926876"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BE5295"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941F22" w14:paraId="6F1C0D7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C2E340" w14:textId="77777777" w:rsidR="00FC4508" w:rsidRPr="001D57ED" w:rsidRDefault="00E82423" w:rsidP="00FC4508">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85-02-35047</w:t>
            </w:r>
            <w:r w:rsidR="002374C7" w:rsidRPr="001D57ED">
              <w:rPr>
                <w:rFonts w:asciiTheme="minorHAnsi" w:eastAsia="Times New Roman" w:hAnsiTheme="minorHAnsi"/>
                <w:color w:val="auto"/>
                <w:szCs w:val="22"/>
              </w:rPr>
              <w:fldChar w:fldCharType="begin"/>
            </w:r>
            <w:r w:rsidR="00FC4508" w:rsidRPr="001D57ED">
              <w:rPr>
                <w:color w:val="auto"/>
              </w:rPr>
              <w:instrText xml:space="preserve"> XE "</w:instrText>
            </w:r>
            <w:r w:rsidRPr="001D57ED">
              <w:rPr>
                <w:color w:val="auto"/>
              </w:rPr>
              <w:instrText>85-02-35047</w:instrText>
            </w:r>
            <w:r w:rsidR="00FC4508" w:rsidRPr="001D57ED">
              <w:rPr>
                <w:color w:val="auto"/>
              </w:rPr>
              <w:instrText xml:space="preserve">" </w:instrText>
            </w:r>
            <w:r w:rsidR="00FC4508" w:rsidRPr="001D57ED">
              <w:rPr>
                <w:rFonts w:eastAsia="Calibri" w:cs="Times New Roman"/>
                <w:bCs/>
                <w:color w:val="auto"/>
                <w:szCs w:val="17"/>
              </w:rPr>
              <w:instrText xml:space="preserve">\f “dan” </w:instrText>
            </w:r>
            <w:r w:rsidR="002374C7" w:rsidRPr="001D57ED">
              <w:rPr>
                <w:rFonts w:asciiTheme="minorHAnsi" w:eastAsia="Times New Roman" w:hAnsiTheme="minorHAnsi"/>
                <w:color w:val="auto"/>
                <w:szCs w:val="22"/>
              </w:rPr>
              <w:fldChar w:fldCharType="end"/>
            </w:r>
          </w:p>
          <w:p w14:paraId="51950C5B" w14:textId="77777777" w:rsidR="00FC4508" w:rsidRPr="001D57ED" w:rsidRDefault="00FC4508" w:rsidP="00FC4508">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 xml:space="preserve">Rev. </w:t>
            </w:r>
            <w:r w:rsidR="00214B2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E07CD6F" w14:textId="77777777" w:rsidR="00FC4508" w:rsidRPr="001D57ED" w:rsidRDefault="00E82423" w:rsidP="00FC4508">
            <w:pPr>
              <w:spacing w:before="60" w:after="60"/>
              <w:rPr>
                <w:rFonts w:asciiTheme="minorHAnsi" w:hAnsiTheme="minorHAnsi"/>
                <w:b/>
                <w:bCs/>
                <w:i/>
                <w:color w:val="auto"/>
                <w:szCs w:val="22"/>
              </w:rPr>
            </w:pPr>
            <w:r w:rsidRPr="001D57ED">
              <w:rPr>
                <w:rFonts w:asciiTheme="minorHAnsi" w:hAnsiTheme="minorHAnsi"/>
                <w:b/>
                <w:bCs/>
                <w:i/>
                <w:color w:val="auto"/>
                <w:szCs w:val="22"/>
              </w:rPr>
              <w:t>Business Enterprise Program Vendor Personal Files</w:t>
            </w:r>
          </w:p>
          <w:p w14:paraId="6C60F503" w14:textId="77777777" w:rsidR="00FC4508" w:rsidRDefault="00214B23" w:rsidP="00FC4508">
            <w:pPr>
              <w:spacing w:before="60" w:after="60"/>
              <w:rPr>
                <w:bCs/>
                <w:color w:val="auto"/>
                <w:szCs w:val="22"/>
              </w:rPr>
            </w:pPr>
            <w:r>
              <w:rPr>
                <w:rFonts w:asciiTheme="minorHAnsi" w:eastAsia="Times New Roman" w:hAnsiTheme="minorHAnsi"/>
                <w:color w:val="auto"/>
                <w:szCs w:val="22"/>
              </w:rPr>
              <w:t xml:space="preserve">Records relating to </w:t>
            </w:r>
            <w:r w:rsidR="00E82423" w:rsidRPr="001D57ED">
              <w:rPr>
                <w:rFonts w:asciiTheme="minorHAnsi" w:eastAsia="Times New Roman" w:hAnsiTheme="minorHAnsi"/>
                <w:color w:val="auto"/>
                <w:szCs w:val="22"/>
              </w:rPr>
              <w:t>the financial operations and pertinent personal information regarding each vendor in the prog</w:t>
            </w:r>
            <w:r w:rsidR="002D2EED" w:rsidRPr="001D57ED">
              <w:rPr>
                <w:rFonts w:asciiTheme="minorHAnsi" w:eastAsia="Times New Roman" w:hAnsiTheme="minorHAnsi"/>
                <w:color w:val="auto"/>
                <w:szCs w:val="22"/>
              </w:rPr>
              <w:t>r</w:t>
            </w:r>
            <w:r w:rsidR="00E82423" w:rsidRPr="001D57ED">
              <w:rPr>
                <w:rFonts w:asciiTheme="minorHAnsi" w:eastAsia="Times New Roman" w:hAnsiTheme="minorHAnsi"/>
                <w:color w:val="auto"/>
                <w:szCs w:val="22"/>
              </w:rPr>
              <w:t>am.</w:t>
            </w:r>
            <w:r w:rsidR="002374C7" w:rsidRPr="001D57ED">
              <w:rPr>
                <w:bCs/>
                <w:color w:val="auto"/>
                <w:szCs w:val="22"/>
              </w:rPr>
              <w:fldChar w:fldCharType="begin"/>
            </w:r>
            <w:r w:rsidR="00FC4508" w:rsidRPr="001D57ED">
              <w:rPr>
                <w:bCs/>
                <w:color w:val="auto"/>
                <w:szCs w:val="22"/>
              </w:rPr>
              <w:instrText xml:space="preserve"> xe "</w:instrText>
            </w:r>
            <w:r>
              <w:rPr>
                <w:bCs/>
                <w:color w:val="auto"/>
                <w:szCs w:val="22"/>
              </w:rPr>
              <w:instrText>Business Enterprise Program</w:instrText>
            </w:r>
            <w:r w:rsidR="00FC4508" w:rsidRPr="001D57ED">
              <w:rPr>
                <w:bCs/>
                <w:color w:val="auto"/>
                <w:szCs w:val="22"/>
              </w:rPr>
              <w:instrText xml:space="preserve">" \f “subject” </w:instrText>
            </w:r>
            <w:r w:rsidR="002374C7" w:rsidRPr="001D57ED">
              <w:rPr>
                <w:bCs/>
                <w:color w:val="auto"/>
                <w:szCs w:val="22"/>
              </w:rPr>
              <w:fldChar w:fldCharType="end"/>
            </w:r>
          </w:p>
          <w:p w14:paraId="5EA45E30" w14:textId="77777777" w:rsidR="00214B23" w:rsidRDefault="00214B23" w:rsidP="00FC4508">
            <w:pPr>
              <w:spacing w:before="60" w:after="60"/>
              <w:rPr>
                <w:bCs/>
                <w:color w:val="auto"/>
                <w:szCs w:val="22"/>
              </w:rPr>
            </w:pPr>
            <w:r>
              <w:rPr>
                <w:bCs/>
                <w:color w:val="auto"/>
                <w:szCs w:val="22"/>
              </w:rPr>
              <w:t>Includes, but is not limited to:</w:t>
            </w:r>
          </w:p>
          <w:p w14:paraId="62BE3911" w14:textId="77777777" w:rsidR="00214B23" w:rsidRPr="00214B23" w:rsidRDefault="00214B23" w:rsidP="00214B23">
            <w:pPr>
              <w:pStyle w:val="ListParagraph"/>
              <w:numPr>
                <w:ilvl w:val="0"/>
                <w:numId w:val="22"/>
              </w:numPr>
              <w:spacing w:before="60" w:after="60"/>
              <w:rPr>
                <w:bCs/>
                <w:color w:val="auto"/>
                <w:szCs w:val="22"/>
              </w:rPr>
            </w:pPr>
            <w:r w:rsidRPr="00214B23">
              <w:rPr>
                <w:bCs/>
                <w:color w:val="auto"/>
                <w:szCs w:val="22"/>
              </w:rPr>
              <w:t>Physician</w:t>
            </w:r>
            <w:r w:rsidR="00182EBE">
              <w:rPr>
                <w:bCs/>
                <w:color w:val="auto"/>
                <w:szCs w:val="22"/>
              </w:rPr>
              <w:t>’</w:t>
            </w:r>
            <w:r w:rsidRPr="00214B23">
              <w:rPr>
                <w:bCs/>
                <w:color w:val="auto"/>
                <w:szCs w:val="22"/>
              </w:rPr>
              <w:t>s report on eye exams;</w:t>
            </w:r>
          </w:p>
          <w:p w14:paraId="36A03504" w14:textId="77777777" w:rsidR="00214B23" w:rsidRPr="00214B23" w:rsidRDefault="00214B23" w:rsidP="00214B23">
            <w:pPr>
              <w:pStyle w:val="ListParagraph"/>
              <w:numPr>
                <w:ilvl w:val="0"/>
                <w:numId w:val="22"/>
              </w:numPr>
              <w:spacing w:before="60" w:after="60"/>
              <w:rPr>
                <w:bCs/>
                <w:color w:val="auto"/>
                <w:szCs w:val="22"/>
              </w:rPr>
            </w:pPr>
            <w:r w:rsidRPr="00214B23">
              <w:rPr>
                <w:bCs/>
                <w:color w:val="auto"/>
                <w:szCs w:val="22"/>
              </w:rPr>
              <w:t>Washington Administrative Code agreements;</w:t>
            </w:r>
          </w:p>
          <w:p w14:paraId="3B1EAD40" w14:textId="77777777" w:rsidR="00214B23" w:rsidRPr="00214B23" w:rsidRDefault="00214B23" w:rsidP="00214B23">
            <w:pPr>
              <w:pStyle w:val="ListParagraph"/>
              <w:numPr>
                <w:ilvl w:val="0"/>
                <w:numId w:val="22"/>
              </w:numPr>
              <w:spacing w:before="60" w:after="60"/>
              <w:rPr>
                <w:bCs/>
                <w:color w:val="auto"/>
                <w:szCs w:val="22"/>
              </w:rPr>
            </w:pPr>
            <w:r w:rsidRPr="00214B23">
              <w:rPr>
                <w:bCs/>
                <w:color w:val="auto"/>
                <w:szCs w:val="22"/>
              </w:rPr>
              <w:t>Referrals to Business Enterprise Program;</w:t>
            </w:r>
          </w:p>
          <w:p w14:paraId="22E93F14"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Quarterly tax reports;</w:t>
            </w:r>
          </w:p>
          <w:p w14:paraId="69259909"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Inventory of stocks and supplies;</w:t>
            </w:r>
          </w:p>
          <w:p w14:paraId="626CE601"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Notices of geographic availability;</w:t>
            </w:r>
          </w:p>
          <w:p w14:paraId="06C0983F"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Cash sales forms;</w:t>
            </w:r>
          </w:p>
          <w:p w14:paraId="259D613C"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Vendor resignation forms;</w:t>
            </w:r>
          </w:p>
          <w:p w14:paraId="21A8050E"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Business Enterprise Program operator financial reports;</w:t>
            </w:r>
          </w:p>
          <w:p w14:paraId="45D69DC9"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Visitation evaluations;</w:t>
            </w:r>
          </w:p>
          <w:p w14:paraId="55700E98" w14:textId="77777777" w:rsidR="00FC4508" w:rsidRPr="00214B23" w:rsidRDefault="00214B23" w:rsidP="00214B23">
            <w:pPr>
              <w:pStyle w:val="ListParagraph"/>
              <w:numPr>
                <w:ilvl w:val="0"/>
                <w:numId w:val="22"/>
              </w:numPr>
              <w:spacing w:before="60" w:after="60"/>
              <w:rPr>
                <w:rFonts w:asciiTheme="minorHAnsi" w:hAnsiTheme="minorHAnsi"/>
                <w:b/>
                <w:bCs/>
                <w:i/>
                <w:color w:val="auto"/>
                <w:sz w:val="21"/>
                <w:szCs w:val="21"/>
              </w:rPr>
            </w:pPr>
            <w:r w:rsidRPr="00214B23">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6ECD09C" w14:textId="77777777" w:rsidR="00FC4508" w:rsidRPr="001D57ED" w:rsidRDefault="00FC4508" w:rsidP="00FC4508">
            <w:pPr>
              <w:spacing w:before="60" w:after="60"/>
              <w:rPr>
                <w:bCs/>
                <w:color w:val="auto"/>
                <w:szCs w:val="17"/>
              </w:rPr>
            </w:pPr>
            <w:r w:rsidRPr="001D57ED">
              <w:rPr>
                <w:b/>
                <w:bCs/>
                <w:color w:val="auto"/>
                <w:szCs w:val="17"/>
              </w:rPr>
              <w:t>Retain</w:t>
            </w:r>
            <w:r w:rsidRPr="001D57ED">
              <w:rPr>
                <w:bCs/>
                <w:color w:val="auto"/>
                <w:szCs w:val="17"/>
              </w:rPr>
              <w:t xml:space="preserve"> for </w:t>
            </w:r>
            <w:r w:rsidR="00E82423" w:rsidRPr="001D57ED">
              <w:rPr>
                <w:bCs/>
                <w:color w:val="auto"/>
                <w:szCs w:val="17"/>
              </w:rPr>
              <w:t>6</w:t>
            </w:r>
            <w:r w:rsidRPr="001D57ED">
              <w:rPr>
                <w:bCs/>
                <w:color w:val="auto"/>
                <w:szCs w:val="17"/>
              </w:rPr>
              <w:t xml:space="preserve"> </w:t>
            </w:r>
            <w:r w:rsidR="00E82423" w:rsidRPr="001D57ED">
              <w:rPr>
                <w:bCs/>
                <w:color w:val="auto"/>
                <w:szCs w:val="17"/>
              </w:rPr>
              <w:t xml:space="preserve">years </w:t>
            </w:r>
            <w:r w:rsidR="001D57ED">
              <w:rPr>
                <w:bCs/>
                <w:color w:val="auto"/>
                <w:szCs w:val="17"/>
              </w:rPr>
              <w:t>after</w:t>
            </w:r>
            <w:r w:rsidR="00E82423" w:rsidRPr="001D57ED">
              <w:rPr>
                <w:bCs/>
                <w:color w:val="auto"/>
                <w:szCs w:val="17"/>
              </w:rPr>
              <w:t xml:space="preserve"> Business Enterprise Program Vendor leaves </w:t>
            </w:r>
            <w:r w:rsidR="001D57ED">
              <w:rPr>
                <w:bCs/>
                <w:color w:val="auto"/>
                <w:szCs w:val="17"/>
              </w:rPr>
              <w:t>p</w:t>
            </w:r>
            <w:r w:rsidR="00E82423" w:rsidRPr="001D57ED">
              <w:rPr>
                <w:bCs/>
                <w:color w:val="auto"/>
                <w:szCs w:val="17"/>
              </w:rPr>
              <w:t>rogram</w:t>
            </w:r>
          </w:p>
          <w:p w14:paraId="060BC006" w14:textId="77777777" w:rsidR="00FC4508" w:rsidRPr="001D57ED" w:rsidRDefault="00FC4508" w:rsidP="00FC4508">
            <w:pPr>
              <w:spacing w:before="60" w:after="60"/>
              <w:rPr>
                <w:bCs/>
                <w:i/>
                <w:color w:val="auto"/>
                <w:szCs w:val="17"/>
              </w:rPr>
            </w:pPr>
            <w:r w:rsidRPr="001D57ED">
              <w:rPr>
                <w:bCs/>
                <w:color w:val="auto"/>
                <w:szCs w:val="17"/>
              </w:rPr>
              <w:t xml:space="preserve">   </w:t>
            </w:r>
            <w:r w:rsidRPr="001D57ED">
              <w:rPr>
                <w:bCs/>
                <w:i/>
                <w:color w:val="auto"/>
                <w:szCs w:val="17"/>
              </w:rPr>
              <w:t>then</w:t>
            </w:r>
          </w:p>
          <w:p w14:paraId="0BD2675F" w14:textId="77777777" w:rsidR="00FC4508" w:rsidRPr="001D57ED" w:rsidRDefault="00FC4508" w:rsidP="00FC4508">
            <w:pPr>
              <w:spacing w:before="60" w:after="60"/>
              <w:rPr>
                <w:b/>
                <w:bCs/>
                <w:color w:val="auto"/>
                <w:szCs w:val="17"/>
              </w:rPr>
            </w:pPr>
            <w:r w:rsidRPr="001D57ED">
              <w:rPr>
                <w:b/>
                <w:bCs/>
                <w:color w:val="auto"/>
                <w:szCs w:val="17"/>
              </w:rPr>
              <w:t>Destroy</w:t>
            </w:r>
            <w:r w:rsidRPr="001D57E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D45C0A"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ADBABC5"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085990FE"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23D094A" w14:textId="77777777" w:rsidR="00E82423" w:rsidRDefault="00E82423" w:rsidP="00725C90"/>
    <w:p w14:paraId="1A9A0FF6" w14:textId="77777777" w:rsidR="00945436" w:rsidRDefault="00945436" w:rsidP="00725C90"/>
    <w:p w14:paraId="23630D10" w14:textId="77777777" w:rsidR="00945436" w:rsidRDefault="00945436">
      <w:pPr>
        <w:sectPr w:rsidR="00945436" w:rsidSect="00255C92">
          <w:footerReference w:type="default" r:id="rId11"/>
          <w:pgSz w:w="15840" w:h="12240" w:orient="landscape" w:code="1"/>
          <w:pgMar w:top="1080" w:right="720" w:bottom="1080" w:left="720" w:header="1080" w:footer="720" w:gutter="0"/>
          <w:cols w:space="720"/>
          <w:docGrid w:linePitch="360"/>
        </w:sectPr>
      </w:pPr>
    </w:p>
    <w:p w14:paraId="29F8D73C" w14:textId="77777777" w:rsidR="00945436" w:rsidRPr="00EE059D" w:rsidRDefault="00945436" w:rsidP="00945436">
      <w:pPr>
        <w:pStyle w:val="Functions"/>
        <w:rPr>
          <w:color w:val="auto"/>
        </w:rPr>
      </w:pPr>
      <w:bookmarkStart w:id="1" w:name="_Toc466973716"/>
      <w:r>
        <w:rPr>
          <w:color w:val="auto"/>
        </w:rPr>
        <w:lastRenderedPageBreak/>
        <w:t>CASE MANAGEMENT</w:t>
      </w:r>
      <w:bookmarkEnd w:id="1"/>
    </w:p>
    <w:p w14:paraId="4A65EA05" w14:textId="77777777" w:rsidR="00945436" w:rsidRPr="00D63836" w:rsidRDefault="00945436" w:rsidP="00945436">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Pr>
          <w:color w:val="auto"/>
        </w:rPr>
        <w:t>individual case management</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82423" w:rsidRPr="004C34AF" w14:paraId="6D48D866" w14:textId="77777777" w:rsidTr="006C2B9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CF97C2" w14:textId="77777777" w:rsidR="00E82423" w:rsidRPr="004C34AF" w:rsidRDefault="00E82423" w:rsidP="006C2B9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DD46E" w14:textId="77777777" w:rsidR="00E82423" w:rsidRPr="004C34AF" w:rsidRDefault="00E82423" w:rsidP="006C2B9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CB4978" w14:textId="77777777" w:rsidR="00E82423" w:rsidRPr="004C34AF" w:rsidRDefault="00E82423" w:rsidP="006C2B93">
            <w:pPr>
              <w:jc w:val="center"/>
              <w:rPr>
                <w:rFonts w:eastAsia="Calibri" w:cs="Times New Roman"/>
                <w:b/>
                <w:sz w:val="20"/>
                <w:szCs w:val="20"/>
              </w:rPr>
            </w:pPr>
            <w:r>
              <w:rPr>
                <w:rFonts w:eastAsia="Calibri" w:cs="Times New Roman"/>
                <w:b/>
                <w:sz w:val="20"/>
                <w:szCs w:val="20"/>
              </w:rPr>
              <w:t>RETENTION AND</w:t>
            </w:r>
          </w:p>
          <w:p w14:paraId="55CE3B56" w14:textId="77777777" w:rsidR="00E82423" w:rsidRPr="004C34AF" w:rsidRDefault="00E82423" w:rsidP="006C2B9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C73BAA" w14:textId="77777777" w:rsidR="00E82423" w:rsidRPr="004C34AF" w:rsidRDefault="00E82423" w:rsidP="006C2B93">
            <w:pPr>
              <w:jc w:val="center"/>
              <w:rPr>
                <w:rFonts w:eastAsia="Calibri" w:cs="Times New Roman"/>
                <w:b/>
                <w:sz w:val="20"/>
                <w:szCs w:val="20"/>
              </w:rPr>
            </w:pPr>
            <w:r w:rsidRPr="004C34AF">
              <w:rPr>
                <w:rFonts w:eastAsia="Calibri" w:cs="Times New Roman"/>
                <w:b/>
                <w:sz w:val="20"/>
                <w:szCs w:val="20"/>
              </w:rPr>
              <w:t>DESIGNATION</w:t>
            </w:r>
          </w:p>
        </w:tc>
      </w:tr>
      <w:tr w:rsidR="00E82423" w:rsidRPr="00D23FE2" w14:paraId="6EEA56C9" w14:textId="77777777" w:rsidTr="006C2B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EA2B39F" w14:textId="77777777" w:rsidR="00E82423" w:rsidRPr="001D57ED" w:rsidRDefault="00E82423" w:rsidP="006C2B93">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84-03-33619</w:t>
            </w:r>
            <w:r w:rsidRPr="001D57ED">
              <w:rPr>
                <w:rFonts w:asciiTheme="minorHAnsi" w:eastAsia="Times New Roman" w:hAnsiTheme="minorHAnsi"/>
                <w:color w:val="auto"/>
                <w:szCs w:val="22"/>
              </w:rPr>
              <w:fldChar w:fldCharType="begin"/>
            </w:r>
            <w:r w:rsidRPr="001D57ED">
              <w:rPr>
                <w:color w:val="auto"/>
              </w:rPr>
              <w:instrText xml:space="preserve"> XE "84-03-33619" </w:instrText>
            </w:r>
            <w:r w:rsidRPr="001D57ED">
              <w:rPr>
                <w:rFonts w:eastAsia="Calibri" w:cs="Times New Roman"/>
                <w:bCs/>
                <w:color w:val="auto"/>
                <w:szCs w:val="17"/>
              </w:rPr>
              <w:instrText xml:space="preserve">\f “dan” </w:instrText>
            </w:r>
            <w:r w:rsidRPr="001D57ED">
              <w:rPr>
                <w:rFonts w:asciiTheme="minorHAnsi" w:eastAsia="Times New Roman" w:hAnsiTheme="minorHAnsi"/>
                <w:color w:val="auto"/>
                <w:szCs w:val="22"/>
              </w:rPr>
              <w:fldChar w:fldCharType="end"/>
            </w:r>
          </w:p>
          <w:p w14:paraId="62D1AA42" w14:textId="77777777" w:rsidR="00E82423" w:rsidRPr="001D57ED" w:rsidRDefault="00E82423" w:rsidP="006C2B93">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 xml:space="preserve">Rev. </w:t>
            </w:r>
            <w:r w:rsidR="0094543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07D9B77" w14:textId="77777777" w:rsidR="00E82423" w:rsidRPr="001D57ED" w:rsidRDefault="00E82423" w:rsidP="006C2B93">
            <w:pPr>
              <w:spacing w:before="60" w:after="60"/>
              <w:rPr>
                <w:rFonts w:asciiTheme="minorHAnsi" w:hAnsiTheme="minorHAnsi"/>
                <w:b/>
                <w:bCs/>
                <w:i/>
                <w:color w:val="auto"/>
                <w:szCs w:val="22"/>
              </w:rPr>
            </w:pPr>
            <w:r w:rsidRPr="001D57ED">
              <w:rPr>
                <w:rFonts w:asciiTheme="minorHAnsi" w:hAnsiTheme="minorHAnsi"/>
                <w:b/>
                <w:bCs/>
                <w:i/>
                <w:color w:val="auto"/>
                <w:szCs w:val="22"/>
              </w:rPr>
              <w:t>Case Service Records</w:t>
            </w:r>
          </w:p>
          <w:p w14:paraId="0DC1F6E1" w14:textId="77777777" w:rsidR="00945436" w:rsidRDefault="0021780D" w:rsidP="006C2B93">
            <w:pPr>
              <w:spacing w:before="60" w:after="60"/>
              <w:rPr>
                <w:rFonts w:asciiTheme="minorHAnsi" w:eastAsia="Times New Roman" w:hAnsiTheme="minorHAnsi"/>
                <w:color w:val="auto"/>
                <w:szCs w:val="22"/>
              </w:rPr>
            </w:pPr>
            <w:r>
              <w:rPr>
                <w:rFonts w:asciiTheme="minorHAnsi" w:eastAsia="Times New Roman" w:hAnsiTheme="minorHAnsi"/>
                <w:color w:val="auto"/>
                <w:szCs w:val="22"/>
              </w:rPr>
              <w:t>Case records documenting the services provided (such as employment/vocational rehabilitation, independent living, etc.) to adults and youth who are blind or have low vision.</w:t>
            </w:r>
            <w:r w:rsidR="007370AF" w:rsidRPr="001D57ED">
              <w:rPr>
                <w:bCs/>
                <w:color w:val="auto"/>
                <w:szCs w:val="22"/>
              </w:rPr>
              <w:fldChar w:fldCharType="begin"/>
            </w:r>
            <w:r w:rsidR="007370AF" w:rsidRPr="001D57ED">
              <w:rPr>
                <w:bCs/>
                <w:color w:val="auto"/>
                <w:szCs w:val="22"/>
              </w:rPr>
              <w:instrText xml:space="preserve"> xe "</w:instrText>
            </w:r>
            <w:r w:rsidR="007370AF">
              <w:rPr>
                <w:bCs/>
                <w:color w:val="auto"/>
                <w:szCs w:val="22"/>
              </w:rPr>
              <w:instrText>case service</w:instrText>
            </w:r>
            <w:r w:rsidR="007370AF" w:rsidRPr="001D57ED">
              <w:rPr>
                <w:bCs/>
                <w:color w:val="auto"/>
                <w:szCs w:val="22"/>
              </w:rPr>
              <w:instrText xml:space="preserve">" \f “subject” </w:instrText>
            </w:r>
            <w:r w:rsidR="007370AF" w:rsidRPr="001D57ED">
              <w:rPr>
                <w:bCs/>
                <w:color w:val="auto"/>
                <w:szCs w:val="22"/>
              </w:rPr>
              <w:fldChar w:fldCharType="end"/>
            </w:r>
            <w:r w:rsidR="004150C2" w:rsidRPr="001D57ED">
              <w:rPr>
                <w:bCs/>
                <w:color w:val="auto"/>
                <w:szCs w:val="22"/>
              </w:rPr>
              <w:fldChar w:fldCharType="begin"/>
            </w:r>
            <w:r w:rsidR="004150C2" w:rsidRPr="001D57ED">
              <w:rPr>
                <w:bCs/>
                <w:color w:val="auto"/>
                <w:szCs w:val="22"/>
              </w:rPr>
              <w:instrText xml:space="preserve"> xe "</w:instrText>
            </w:r>
            <w:r w:rsidR="004150C2">
              <w:rPr>
                <w:bCs/>
                <w:color w:val="auto"/>
                <w:szCs w:val="22"/>
              </w:rPr>
              <w:instrText>employment services</w:instrText>
            </w:r>
            <w:r w:rsidR="004150C2" w:rsidRPr="001D57ED">
              <w:rPr>
                <w:bCs/>
                <w:color w:val="auto"/>
                <w:szCs w:val="22"/>
              </w:rPr>
              <w:instrText xml:space="preserve">" \f “subject” </w:instrText>
            </w:r>
            <w:r w:rsidR="004150C2" w:rsidRPr="001D57ED">
              <w:rPr>
                <w:bCs/>
                <w:color w:val="auto"/>
                <w:szCs w:val="22"/>
              </w:rPr>
              <w:fldChar w:fldCharType="end"/>
            </w:r>
            <w:r w:rsidR="004150C2" w:rsidRPr="001D57ED">
              <w:rPr>
                <w:bCs/>
                <w:color w:val="auto"/>
                <w:szCs w:val="22"/>
              </w:rPr>
              <w:fldChar w:fldCharType="begin"/>
            </w:r>
            <w:r w:rsidR="004150C2" w:rsidRPr="001D57ED">
              <w:rPr>
                <w:bCs/>
                <w:color w:val="auto"/>
                <w:szCs w:val="22"/>
              </w:rPr>
              <w:instrText xml:space="preserve"> xe "</w:instrText>
            </w:r>
            <w:r w:rsidR="004150C2">
              <w:rPr>
                <w:bCs/>
                <w:color w:val="auto"/>
                <w:szCs w:val="22"/>
              </w:rPr>
              <w:instrText>vocational rehabilitation services</w:instrText>
            </w:r>
            <w:r w:rsidR="004150C2" w:rsidRPr="001D57ED">
              <w:rPr>
                <w:bCs/>
                <w:color w:val="auto"/>
                <w:szCs w:val="22"/>
              </w:rPr>
              <w:instrText xml:space="preserve">" \f “subject” </w:instrText>
            </w:r>
            <w:r w:rsidR="004150C2" w:rsidRPr="001D57ED">
              <w:rPr>
                <w:bCs/>
                <w:color w:val="auto"/>
                <w:szCs w:val="22"/>
              </w:rPr>
              <w:fldChar w:fldCharType="end"/>
            </w:r>
            <w:r w:rsidR="004150C2" w:rsidRPr="001D57ED">
              <w:rPr>
                <w:bCs/>
                <w:color w:val="auto"/>
                <w:szCs w:val="22"/>
              </w:rPr>
              <w:fldChar w:fldCharType="begin"/>
            </w:r>
            <w:r w:rsidR="004150C2" w:rsidRPr="001D57ED">
              <w:rPr>
                <w:bCs/>
                <w:color w:val="auto"/>
                <w:szCs w:val="22"/>
              </w:rPr>
              <w:instrText xml:space="preserve"> xe "</w:instrText>
            </w:r>
            <w:r w:rsidR="004150C2">
              <w:rPr>
                <w:bCs/>
                <w:color w:val="auto"/>
                <w:szCs w:val="22"/>
              </w:rPr>
              <w:instrText>independent living services</w:instrText>
            </w:r>
            <w:r w:rsidR="004150C2" w:rsidRPr="001D57ED">
              <w:rPr>
                <w:bCs/>
                <w:color w:val="auto"/>
                <w:szCs w:val="22"/>
              </w:rPr>
              <w:instrText xml:space="preserve">" \f “subject” </w:instrText>
            </w:r>
            <w:r w:rsidR="004150C2" w:rsidRPr="001D57ED">
              <w:rPr>
                <w:bCs/>
                <w:color w:val="auto"/>
                <w:szCs w:val="22"/>
              </w:rPr>
              <w:fldChar w:fldCharType="end"/>
            </w:r>
          </w:p>
          <w:p w14:paraId="6528D6A0" w14:textId="77777777" w:rsidR="00945436" w:rsidRDefault="00945436" w:rsidP="006C2B93">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ABE9D80"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A</w:t>
            </w:r>
            <w:r w:rsidR="002D2EED" w:rsidRPr="007370AF">
              <w:rPr>
                <w:rFonts w:asciiTheme="minorHAnsi" w:eastAsia="Times New Roman" w:hAnsiTheme="minorHAnsi"/>
                <w:color w:val="auto"/>
                <w:szCs w:val="22"/>
              </w:rPr>
              <w:t>pplication for services</w:t>
            </w:r>
            <w:r w:rsidRPr="007370AF">
              <w:rPr>
                <w:rFonts w:asciiTheme="minorHAnsi" w:eastAsia="Times New Roman" w:hAnsiTheme="minorHAnsi"/>
                <w:color w:val="auto"/>
                <w:szCs w:val="22"/>
              </w:rPr>
              <w:t>;</w:t>
            </w:r>
          </w:p>
          <w:p w14:paraId="2DAD2E7D"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R</w:t>
            </w:r>
            <w:r w:rsidR="002D2EED" w:rsidRPr="007370AF">
              <w:rPr>
                <w:rFonts w:asciiTheme="minorHAnsi" w:eastAsia="Times New Roman" w:hAnsiTheme="minorHAnsi"/>
                <w:color w:val="auto"/>
                <w:szCs w:val="22"/>
              </w:rPr>
              <w:t>eferrals</w:t>
            </w:r>
            <w:r w:rsidRPr="007370AF">
              <w:rPr>
                <w:rFonts w:asciiTheme="minorHAnsi" w:eastAsia="Times New Roman" w:hAnsiTheme="minorHAnsi"/>
                <w:color w:val="auto"/>
                <w:szCs w:val="22"/>
              </w:rPr>
              <w:t>;</w:t>
            </w:r>
          </w:p>
          <w:p w14:paraId="67DD35F8"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E</w:t>
            </w:r>
            <w:r w:rsidR="002D2EED" w:rsidRPr="007370AF">
              <w:rPr>
                <w:rFonts w:asciiTheme="minorHAnsi" w:eastAsia="Times New Roman" w:hAnsiTheme="minorHAnsi"/>
                <w:color w:val="auto"/>
                <w:szCs w:val="22"/>
              </w:rPr>
              <w:t>ligibility client information release</w:t>
            </w:r>
            <w:r w:rsidRPr="007370AF">
              <w:rPr>
                <w:rFonts w:asciiTheme="minorHAnsi" w:eastAsia="Times New Roman" w:hAnsiTheme="minorHAnsi"/>
                <w:color w:val="auto"/>
                <w:szCs w:val="22"/>
              </w:rPr>
              <w:t>;</w:t>
            </w:r>
          </w:p>
          <w:p w14:paraId="2C6C4CA7"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I</w:t>
            </w:r>
            <w:r w:rsidR="002D2EED" w:rsidRPr="007370AF">
              <w:rPr>
                <w:rFonts w:asciiTheme="minorHAnsi" w:eastAsia="Times New Roman" w:hAnsiTheme="minorHAnsi"/>
                <w:color w:val="auto"/>
                <w:szCs w:val="22"/>
              </w:rPr>
              <w:t>nformed choice individual rehab</w:t>
            </w:r>
            <w:r w:rsidRPr="007370AF">
              <w:rPr>
                <w:rFonts w:asciiTheme="minorHAnsi" w:eastAsia="Times New Roman" w:hAnsiTheme="minorHAnsi"/>
                <w:color w:val="auto"/>
                <w:szCs w:val="22"/>
              </w:rPr>
              <w:t>ilitation</w:t>
            </w:r>
            <w:r w:rsidR="002D2EED" w:rsidRPr="007370AF">
              <w:rPr>
                <w:rFonts w:asciiTheme="minorHAnsi" w:eastAsia="Times New Roman" w:hAnsiTheme="minorHAnsi"/>
                <w:color w:val="auto"/>
                <w:szCs w:val="22"/>
              </w:rPr>
              <w:t xml:space="preserve"> plans</w:t>
            </w:r>
            <w:r w:rsidRPr="007370AF">
              <w:rPr>
                <w:rFonts w:asciiTheme="minorHAnsi" w:eastAsia="Times New Roman" w:hAnsiTheme="minorHAnsi"/>
                <w:color w:val="auto"/>
                <w:szCs w:val="22"/>
              </w:rPr>
              <w:t>;</w:t>
            </w:r>
          </w:p>
          <w:p w14:paraId="51C5692D"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Voter registration;</w:t>
            </w:r>
          </w:p>
          <w:p w14:paraId="1D60BA44"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E</w:t>
            </w:r>
            <w:r w:rsidR="002D2EED" w:rsidRPr="007370AF">
              <w:rPr>
                <w:rFonts w:asciiTheme="minorHAnsi" w:eastAsia="Times New Roman" w:hAnsiTheme="minorHAnsi"/>
                <w:color w:val="auto"/>
                <w:szCs w:val="22"/>
              </w:rPr>
              <w:t>valuations</w:t>
            </w:r>
            <w:r w:rsidRPr="007370AF">
              <w:rPr>
                <w:rFonts w:asciiTheme="minorHAnsi" w:eastAsia="Times New Roman" w:hAnsiTheme="minorHAnsi"/>
                <w:color w:val="auto"/>
                <w:szCs w:val="22"/>
              </w:rPr>
              <w:t>;</w:t>
            </w:r>
          </w:p>
          <w:p w14:paraId="22D69128" w14:textId="77777777" w:rsidR="007370AF" w:rsidRPr="007370AF" w:rsidRDefault="002D2EED"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Participant medical information and examina</w:t>
            </w:r>
            <w:r w:rsidR="007370AF" w:rsidRPr="007370AF">
              <w:rPr>
                <w:rFonts w:asciiTheme="minorHAnsi" w:eastAsia="Times New Roman" w:hAnsiTheme="minorHAnsi"/>
                <w:color w:val="auto"/>
                <w:szCs w:val="22"/>
              </w:rPr>
              <w:t>tion reports</w:t>
            </w:r>
            <w:r w:rsidR="0021780D">
              <w:rPr>
                <w:rFonts w:asciiTheme="minorHAnsi" w:eastAsia="Times New Roman" w:hAnsiTheme="minorHAnsi"/>
                <w:color w:val="auto"/>
                <w:szCs w:val="22"/>
              </w:rPr>
              <w:t xml:space="preserve"> used for determining eligibility for services</w:t>
            </w:r>
            <w:r w:rsidR="007370AF" w:rsidRPr="007370AF">
              <w:rPr>
                <w:rFonts w:asciiTheme="minorHAnsi" w:eastAsia="Times New Roman" w:hAnsiTheme="minorHAnsi"/>
                <w:color w:val="auto"/>
                <w:szCs w:val="22"/>
              </w:rPr>
              <w:t>;</w:t>
            </w:r>
          </w:p>
          <w:p w14:paraId="1C8B65D4" w14:textId="77777777" w:rsidR="007370AF" w:rsidRPr="007370AF" w:rsidRDefault="007370AF"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C</w:t>
            </w:r>
            <w:r w:rsidR="002D2EED" w:rsidRPr="007370AF">
              <w:rPr>
                <w:rFonts w:asciiTheme="minorHAnsi" w:eastAsia="Times New Roman" w:hAnsiTheme="minorHAnsi"/>
                <w:color w:val="auto"/>
                <w:szCs w:val="22"/>
              </w:rPr>
              <w:t xml:space="preserve">lient equipment loan agreement </w:t>
            </w:r>
            <w:proofErr w:type="gramStart"/>
            <w:r w:rsidR="002D2EED" w:rsidRPr="007370AF">
              <w:rPr>
                <w:rFonts w:asciiTheme="minorHAnsi" w:eastAsia="Times New Roman" w:hAnsiTheme="minorHAnsi"/>
                <w:color w:val="auto"/>
                <w:szCs w:val="22"/>
              </w:rPr>
              <w:t>check</w:t>
            </w:r>
            <w:proofErr w:type="gramEnd"/>
            <w:r w:rsidR="002D2EED" w:rsidRPr="007370AF">
              <w:rPr>
                <w:rFonts w:asciiTheme="minorHAnsi" w:eastAsia="Times New Roman" w:hAnsiTheme="minorHAnsi"/>
                <w:color w:val="auto"/>
                <w:szCs w:val="22"/>
              </w:rPr>
              <w:t xml:space="preserve"> list</w:t>
            </w:r>
            <w:r w:rsidRPr="007370AF">
              <w:rPr>
                <w:rFonts w:asciiTheme="minorHAnsi" w:eastAsia="Times New Roman" w:hAnsiTheme="minorHAnsi"/>
                <w:color w:val="auto"/>
                <w:szCs w:val="22"/>
              </w:rPr>
              <w:t>s</w:t>
            </w:r>
            <w:r w:rsidR="002D2EED" w:rsidRPr="007370AF">
              <w:rPr>
                <w:rFonts w:asciiTheme="minorHAnsi" w:eastAsia="Times New Roman" w:hAnsiTheme="minorHAnsi"/>
                <w:color w:val="auto"/>
                <w:szCs w:val="22"/>
              </w:rPr>
              <w:t xml:space="preserve"> for closure</w:t>
            </w:r>
            <w:r w:rsidRPr="007370AF">
              <w:rPr>
                <w:rFonts w:asciiTheme="minorHAnsi" w:eastAsia="Times New Roman" w:hAnsiTheme="minorHAnsi"/>
                <w:color w:val="auto"/>
                <w:szCs w:val="22"/>
              </w:rPr>
              <w:t>;</w:t>
            </w:r>
          </w:p>
          <w:p w14:paraId="2ACE35A2" w14:textId="77777777" w:rsidR="00D83403" w:rsidRPr="00D0685C" w:rsidRDefault="007370AF" w:rsidP="007370AF">
            <w:pPr>
              <w:pStyle w:val="ListParagraph"/>
              <w:numPr>
                <w:ilvl w:val="0"/>
                <w:numId w:val="23"/>
              </w:numPr>
              <w:spacing w:before="60" w:after="60"/>
              <w:rPr>
                <w:rFonts w:asciiTheme="minorHAnsi" w:hAnsiTheme="minorHAnsi"/>
                <w:b/>
                <w:bCs/>
                <w:i/>
                <w:color w:val="auto"/>
                <w:sz w:val="21"/>
                <w:szCs w:val="21"/>
              </w:rPr>
            </w:pPr>
            <w:r w:rsidRPr="007370AF">
              <w:rPr>
                <w:rFonts w:asciiTheme="minorHAnsi" w:eastAsia="Times New Roman" w:hAnsiTheme="minorHAnsi"/>
                <w:color w:val="auto"/>
                <w:szCs w:val="22"/>
              </w:rPr>
              <w:t>C</w:t>
            </w:r>
            <w:r w:rsidR="002D2EED" w:rsidRPr="007370AF">
              <w:rPr>
                <w:rFonts w:asciiTheme="minorHAnsi" w:eastAsia="Times New Roman" w:hAnsiTheme="minorHAnsi"/>
                <w:color w:val="auto"/>
                <w:szCs w:val="22"/>
              </w:rPr>
              <w:t>ase review</w:t>
            </w:r>
            <w:r w:rsidRPr="007370AF">
              <w:rPr>
                <w:rFonts w:asciiTheme="minorHAnsi" w:eastAsia="Times New Roman" w:hAnsiTheme="minorHAnsi"/>
                <w:color w:val="auto"/>
                <w:szCs w:val="22"/>
              </w:rPr>
              <w:t>s</w:t>
            </w:r>
            <w:r w:rsidR="002D2EED" w:rsidRPr="007370AF">
              <w:rPr>
                <w:rFonts w:asciiTheme="minorHAnsi" w:eastAsia="Times New Roman" w:hAnsiTheme="minorHAnsi"/>
                <w:color w:val="auto"/>
                <w:szCs w:val="22"/>
              </w:rPr>
              <w:t>.</w:t>
            </w:r>
          </w:p>
          <w:p w14:paraId="43EC437F" w14:textId="42953AA2" w:rsidR="00D0685C" w:rsidRPr="00D0685C" w:rsidRDefault="00D0685C" w:rsidP="00182EBE">
            <w:pPr>
              <w:tabs>
                <w:tab w:val="left" w:pos="1890"/>
              </w:tabs>
              <w:spacing w:before="60" w:after="60"/>
              <w:rPr>
                <w:rFonts w:asciiTheme="minorHAnsi" w:hAnsiTheme="minorHAnsi"/>
                <w:bCs/>
                <w:i/>
                <w:color w:val="auto"/>
                <w:sz w:val="21"/>
                <w:szCs w:val="21"/>
              </w:rPr>
            </w:pPr>
            <w:r w:rsidRPr="00D0685C">
              <w:rPr>
                <w:rFonts w:asciiTheme="minorHAnsi" w:hAnsiTheme="minorHAnsi"/>
                <w:bCs/>
                <w:i/>
                <w:color w:val="auto"/>
                <w:sz w:val="21"/>
                <w:szCs w:val="21"/>
              </w:rPr>
              <w:t xml:space="preserve">Note: Retention </w:t>
            </w:r>
            <w:r>
              <w:rPr>
                <w:rFonts w:asciiTheme="minorHAnsi" w:hAnsiTheme="minorHAnsi"/>
                <w:bCs/>
                <w:i/>
                <w:color w:val="auto"/>
                <w:sz w:val="21"/>
                <w:szCs w:val="21"/>
              </w:rPr>
              <w:t xml:space="preserve">based on </w:t>
            </w:r>
            <w:r w:rsidR="00182EBE">
              <w:rPr>
                <w:rFonts w:asciiTheme="minorHAnsi" w:hAnsiTheme="minorHAnsi"/>
                <w:bCs/>
                <w:i/>
                <w:color w:val="auto"/>
                <w:sz w:val="21"/>
                <w:szCs w:val="21"/>
              </w:rPr>
              <w:t>7-</w:t>
            </w:r>
            <w:r>
              <w:rPr>
                <w:rFonts w:asciiTheme="minorHAnsi" w:hAnsiTheme="minorHAnsi"/>
                <w:bCs/>
                <w:i/>
                <w:color w:val="auto"/>
                <w:sz w:val="21"/>
                <w:szCs w:val="21"/>
              </w:rPr>
              <w:t>year review cycle by the Federal Government.</w:t>
            </w:r>
          </w:p>
        </w:tc>
        <w:tc>
          <w:tcPr>
            <w:tcW w:w="2887" w:type="dxa"/>
            <w:tcBorders>
              <w:top w:val="single" w:sz="4" w:space="0" w:color="000000"/>
              <w:bottom w:val="single" w:sz="4" w:space="0" w:color="000000"/>
            </w:tcBorders>
            <w:tcMar>
              <w:top w:w="43" w:type="dxa"/>
              <w:left w:w="115" w:type="dxa"/>
              <w:bottom w:w="43" w:type="dxa"/>
              <w:right w:w="115" w:type="dxa"/>
            </w:tcMar>
          </w:tcPr>
          <w:p w14:paraId="59E62917" w14:textId="77777777" w:rsidR="00E82423" w:rsidRDefault="00E82423" w:rsidP="006C2B93">
            <w:pPr>
              <w:spacing w:before="60" w:after="60"/>
              <w:rPr>
                <w:bCs/>
                <w:color w:val="auto"/>
                <w:szCs w:val="17"/>
              </w:rPr>
            </w:pPr>
            <w:r w:rsidRPr="001D57ED">
              <w:rPr>
                <w:b/>
                <w:bCs/>
                <w:color w:val="auto"/>
                <w:szCs w:val="17"/>
              </w:rPr>
              <w:t>Retain</w:t>
            </w:r>
            <w:r w:rsidRPr="001D57ED">
              <w:rPr>
                <w:bCs/>
                <w:color w:val="auto"/>
                <w:szCs w:val="17"/>
              </w:rPr>
              <w:t xml:space="preserve"> for </w:t>
            </w:r>
            <w:r w:rsidR="006D5498">
              <w:rPr>
                <w:bCs/>
                <w:color w:val="auto"/>
                <w:szCs w:val="17"/>
              </w:rPr>
              <w:t xml:space="preserve">7 </w:t>
            </w:r>
            <w:r w:rsidRPr="001D57ED">
              <w:rPr>
                <w:bCs/>
                <w:color w:val="auto"/>
                <w:szCs w:val="17"/>
              </w:rPr>
              <w:t xml:space="preserve">years </w:t>
            </w:r>
            <w:r w:rsidR="00D83403" w:rsidRPr="001D57ED">
              <w:rPr>
                <w:bCs/>
                <w:color w:val="auto"/>
                <w:szCs w:val="17"/>
              </w:rPr>
              <w:t xml:space="preserve">after </w:t>
            </w:r>
            <w:r w:rsidR="001D57ED">
              <w:rPr>
                <w:bCs/>
                <w:color w:val="auto"/>
                <w:szCs w:val="17"/>
              </w:rPr>
              <w:t>f</w:t>
            </w:r>
            <w:r w:rsidR="00D83403" w:rsidRPr="001D57ED">
              <w:rPr>
                <w:bCs/>
                <w:color w:val="auto"/>
                <w:szCs w:val="17"/>
              </w:rPr>
              <w:t xml:space="preserve">inal </w:t>
            </w:r>
            <w:r w:rsidR="001D57ED">
              <w:rPr>
                <w:bCs/>
                <w:color w:val="auto"/>
                <w:szCs w:val="17"/>
              </w:rPr>
              <w:t>c</w:t>
            </w:r>
            <w:r w:rsidR="00D83403" w:rsidRPr="001D57ED">
              <w:rPr>
                <w:bCs/>
                <w:color w:val="auto"/>
                <w:szCs w:val="17"/>
              </w:rPr>
              <w:t>losure</w:t>
            </w:r>
          </w:p>
          <w:p w14:paraId="6DC33BE8" w14:textId="77777777" w:rsidR="0021780D" w:rsidRPr="0021780D" w:rsidRDefault="0021780D" w:rsidP="006C2B93">
            <w:pPr>
              <w:spacing w:before="60" w:after="60"/>
              <w:rPr>
                <w:bCs/>
                <w:i/>
                <w:color w:val="auto"/>
                <w:szCs w:val="17"/>
              </w:rPr>
            </w:pPr>
            <w:r>
              <w:rPr>
                <w:bCs/>
                <w:color w:val="auto"/>
                <w:szCs w:val="17"/>
              </w:rPr>
              <w:t xml:space="preserve">   </w:t>
            </w:r>
            <w:r w:rsidRPr="0021780D">
              <w:rPr>
                <w:bCs/>
                <w:i/>
                <w:color w:val="auto"/>
                <w:szCs w:val="17"/>
              </w:rPr>
              <w:t>and</w:t>
            </w:r>
          </w:p>
          <w:p w14:paraId="75DE2A57" w14:textId="77777777" w:rsidR="0021780D" w:rsidRPr="001D57ED" w:rsidRDefault="0021780D" w:rsidP="006C2B93">
            <w:pPr>
              <w:spacing w:before="60" w:after="60"/>
              <w:rPr>
                <w:bCs/>
                <w:color w:val="auto"/>
                <w:szCs w:val="17"/>
              </w:rPr>
            </w:pPr>
            <w:r>
              <w:rPr>
                <w:bCs/>
                <w:color w:val="auto"/>
                <w:szCs w:val="17"/>
              </w:rPr>
              <w:t>7 years after client attains age 18</w:t>
            </w:r>
          </w:p>
          <w:p w14:paraId="670B3D92" w14:textId="77777777" w:rsidR="00E82423" w:rsidRPr="001D57ED" w:rsidRDefault="00E82423" w:rsidP="006C2B93">
            <w:pPr>
              <w:spacing w:before="60" w:after="60"/>
              <w:rPr>
                <w:bCs/>
                <w:i/>
                <w:color w:val="auto"/>
                <w:szCs w:val="17"/>
              </w:rPr>
            </w:pPr>
            <w:r w:rsidRPr="001D57ED">
              <w:rPr>
                <w:bCs/>
                <w:color w:val="auto"/>
                <w:szCs w:val="17"/>
              </w:rPr>
              <w:t xml:space="preserve">   </w:t>
            </w:r>
            <w:r w:rsidRPr="001D57ED">
              <w:rPr>
                <w:bCs/>
                <w:i/>
                <w:color w:val="auto"/>
                <w:szCs w:val="17"/>
              </w:rPr>
              <w:t>then</w:t>
            </w:r>
          </w:p>
          <w:p w14:paraId="3545EE85" w14:textId="77777777" w:rsidR="00E82423" w:rsidRPr="001D57ED" w:rsidRDefault="00E82423" w:rsidP="006C2B93">
            <w:pPr>
              <w:spacing w:before="60" w:after="60"/>
              <w:rPr>
                <w:b/>
                <w:bCs/>
                <w:color w:val="auto"/>
                <w:szCs w:val="17"/>
              </w:rPr>
            </w:pPr>
            <w:r w:rsidRPr="001D57ED">
              <w:rPr>
                <w:b/>
                <w:bCs/>
                <w:color w:val="auto"/>
                <w:szCs w:val="17"/>
              </w:rPr>
              <w:t>Destroy</w:t>
            </w:r>
            <w:r w:rsidRPr="001D57E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DC2E0B" w14:textId="77777777" w:rsidR="00E82423" w:rsidRPr="005F7938" w:rsidRDefault="00E82423" w:rsidP="006C2B9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DF5202" w14:textId="77777777" w:rsidR="00E82423" w:rsidRPr="00D23FE2" w:rsidRDefault="00E82423" w:rsidP="006C2B93">
            <w:pPr>
              <w:jc w:val="center"/>
              <w:rPr>
                <w:rFonts w:eastAsia="Calibri" w:cs="Times New Roman"/>
                <w:color w:val="auto"/>
                <w:sz w:val="20"/>
                <w:szCs w:val="20"/>
              </w:rPr>
            </w:pPr>
            <w:r w:rsidRPr="00D23FE2">
              <w:rPr>
                <w:rFonts w:eastAsia="Calibri" w:cs="Times New Roman"/>
                <w:color w:val="auto"/>
                <w:sz w:val="20"/>
                <w:szCs w:val="20"/>
              </w:rPr>
              <w:t>NON-ESSENTIAL</w:t>
            </w:r>
          </w:p>
          <w:p w14:paraId="2D59F3CA" w14:textId="77777777" w:rsidR="00E82423" w:rsidRPr="00D23FE2" w:rsidRDefault="00E82423" w:rsidP="006C2B9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F104505" w14:textId="77777777" w:rsidR="00E82423" w:rsidRDefault="00E82423"/>
    <w:p w14:paraId="1E34AF27" w14:textId="77777777" w:rsidR="00FC4508" w:rsidRDefault="00FC4508" w:rsidP="00725C90"/>
    <w:p w14:paraId="663038F1" w14:textId="77777777" w:rsidR="00FC4508" w:rsidRDefault="00FC4508" w:rsidP="00725C90"/>
    <w:p w14:paraId="63056438"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60E29D0C" w14:textId="77777777"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466973717"/>
      <w:r>
        <w:lastRenderedPageBreak/>
        <w:t>g</w:t>
      </w:r>
      <w:r w:rsidR="00E7522C" w:rsidRPr="00C04DC1">
        <w:t>lossary</w:t>
      </w:r>
      <w:bookmarkEnd w:id="2"/>
      <w:bookmarkEnd w:id="3"/>
      <w:bookmarkEnd w:id="4"/>
      <w:bookmarkEnd w:id="5"/>
      <w:bookmarkEnd w:id="6"/>
    </w:p>
    <w:tbl>
      <w:tblPr>
        <w:tblW w:w="14400" w:type="dxa"/>
        <w:jc w:val="center"/>
        <w:tblLook w:val="04A0" w:firstRow="1" w:lastRow="0" w:firstColumn="1" w:lastColumn="0" w:noHBand="0" w:noVBand="1"/>
      </w:tblPr>
      <w:tblGrid>
        <w:gridCol w:w="14400"/>
      </w:tblGrid>
      <w:tr w:rsidR="005A06D7" w:rsidRPr="0089069B" w14:paraId="1F9900ED" w14:textId="77777777" w:rsidTr="00B90E48">
        <w:trPr>
          <w:jc w:val="center"/>
        </w:trPr>
        <w:tc>
          <w:tcPr>
            <w:tcW w:w="14317" w:type="dxa"/>
            <w:tcMar>
              <w:left w:w="115" w:type="dxa"/>
              <w:right w:w="202" w:type="dxa"/>
            </w:tcMar>
          </w:tcPr>
          <w:p w14:paraId="70AFB3FE"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89E4C50" w14:textId="77777777" w:rsidTr="00B90E48">
        <w:trPr>
          <w:jc w:val="center"/>
        </w:trPr>
        <w:tc>
          <w:tcPr>
            <w:tcW w:w="14317" w:type="dxa"/>
            <w:tcMar>
              <w:left w:w="115" w:type="dxa"/>
              <w:right w:w="202" w:type="dxa"/>
            </w:tcMar>
          </w:tcPr>
          <w:p w14:paraId="4BC53C1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601C80"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14:paraId="5C7DF5A3" w14:textId="77777777" w:rsidTr="00B90E48">
        <w:trPr>
          <w:jc w:val="center"/>
        </w:trPr>
        <w:tc>
          <w:tcPr>
            <w:tcW w:w="14317" w:type="dxa"/>
            <w:tcMar>
              <w:left w:w="115" w:type="dxa"/>
              <w:right w:w="202" w:type="dxa"/>
            </w:tcMar>
          </w:tcPr>
          <w:p w14:paraId="1BE287BC"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2B78EEDF" w14:textId="77777777" w:rsidTr="00B90E48">
        <w:trPr>
          <w:jc w:val="center"/>
        </w:trPr>
        <w:tc>
          <w:tcPr>
            <w:tcW w:w="14317" w:type="dxa"/>
            <w:tcMar>
              <w:left w:w="115" w:type="dxa"/>
              <w:right w:w="202" w:type="dxa"/>
            </w:tcMar>
          </w:tcPr>
          <w:p w14:paraId="67454CD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68A20A7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601C80"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601C80"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50D79BBE" w14:textId="77777777" w:rsidTr="00B90E48">
        <w:trPr>
          <w:jc w:val="center"/>
        </w:trPr>
        <w:tc>
          <w:tcPr>
            <w:tcW w:w="14317" w:type="dxa"/>
            <w:tcMar>
              <w:left w:w="115" w:type="dxa"/>
              <w:right w:w="202" w:type="dxa"/>
            </w:tcMar>
            <w:vAlign w:val="center"/>
          </w:tcPr>
          <w:p w14:paraId="5970A0D9"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3CC6A3B5" w14:textId="77777777" w:rsidTr="00B90E48">
        <w:trPr>
          <w:jc w:val="center"/>
        </w:trPr>
        <w:tc>
          <w:tcPr>
            <w:tcW w:w="14317" w:type="dxa"/>
            <w:tcMar>
              <w:left w:w="115" w:type="dxa"/>
              <w:right w:w="202" w:type="dxa"/>
            </w:tcMar>
          </w:tcPr>
          <w:p w14:paraId="7A7EABF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601C80"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68987B7F"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40E5BD4" w14:textId="77777777" w:rsidTr="00B90E48">
        <w:trPr>
          <w:jc w:val="center"/>
        </w:trPr>
        <w:tc>
          <w:tcPr>
            <w:tcW w:w="14317" w:type="dxa"/>
            <w:tcMar>
              <w:left w:w="115" w:type="dxa"/>
              <w:right w:w="202" w:type="dxa"/>
            </w:tcMar>
          </w:tcPr>
          <w:p w14:paraId="2B83382A"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B711B10" w14:textId="77777777" w:rsidTr="00B90E48">
        <w:trPr>
          <w:jc w:val="center"/>
        </w:trPr>
        <w:tc>
          <w:tcPr>
            <w:tcW w:w="14317" w:type="dxa"/>
            <w:tcMar>
              <w:left w:w="115" w:type="dxa"/>
              <w:right w:w="202" w:type="dxa"/>
            </w:tcMar>
          </w:tcPr>
          <w:p w14:paraId="15E5B32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2817930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601C80" w:rsidRPr="0089069B">
              <w:rPr>
                <w:rFonts w:eastAsia="Calibri" w:cs="Times New Roman"/>
                <w:i/>
                <w:sz w:val="21"/>
                <w:szCs w:val="21"/>
              </w:rPr>
              <w:t>.</w:t>
            </w:r>
            <w:r w:rsidR="00601C80" w:rsidRPr="0089069B">
              <w:rPr>
                <w:rFonts w:eastAsia="Calibri" w:cs="Times New Roman"/>
                <w:b/>
                <w:szCs w:val="22"/>
              </w:rPr>
              <w:t xml:space="preserve"> </w:t>
            </w:r>
          </w:p>
        </w:tc>
      </w:tr>
      <w:tr w:rsidR="005A06D7" w:rsidRPr="0089069B" w14:paraId="714616B0" w14:textId="77777777" w:rsidTr="00B90E48">
        <w:trPr>
          <w:jc w:val="center"/>
        </w:trPr>
        <w:tc>
          <w:tcPr>
            <w:tcW w:w="14317" w:type="dxa"/>
            <w:tcMar>
              <w:left w:w="115" w:type="dxa"/>
              <w:right w:w="202" w:type="dxa"/>
            </w:tcMar>
          </w:tcPr>
          <w:p w14:paraId="2D27F746"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660B3DAC" w14:textId="77777777" w:rsidTr="00B90E48">
        <w:trPr>
          <w:jc w:val="center"/>
        </w:trPr>
        <w:tc>
          <w:tcPr>
            <w:tcW w:w="14317" w:type="dxa"/>
            <w:tcMar>
              <w:left w:w="115" w:type="dxa"/>
              <w:right w:w="202" w:type="dxa"/>
            </w:tcMar>
          </w:tcPr>
          <w:p w14:paraId="28E14B1C" w14:textId="77777777" w:rsidR="00193EB1" w:rsidRPr="0089069B" w:rsidRDefault="005A06D7" w:rsidP="007370AF">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245B08B1" w14:textId="77777777" w:rsidTr="00B90E48">
        <w:trPr>
          <w:jc w:val="center"/>
        </w:trPr>
        <w:tc>
          <w:tcPr>
            <w:tcW w:w="14317" w:type="dxa"/>
            <w:tcMar>
              <w:left w:w="115" w:type="dxa"/>
              <w:right w:w="202" w:type="dxa"/>
            </w:tcMar>
          </w:tcPr>
          <w:p w14:paraId="5849DAC8"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08D61570" w14:textId="77777777" w:rsidTr="00B90E48">
        <w:trPr>
          <w:jc w:val="center"/>
        </w:trPr>
        <w:tc>
          <w:tcPr>
            <w:tcW w:w="14317" w:type="dxa"/>
            <w:tcMar>
              <w:left w:w="115" w:type="dxa"/>
              <w:right w:w="202" w:type="dxa"/>
            </w:tcMar>
          </w:tcPr>
          <w:p w14:paraId="53694691"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w:t>
            </w:r>
            <w:proofErr w:type="gramStart"/>
            <w:r w:rsidRPr="0089069B">
              <w:rPr>
                <w:rFonts w:eastAsia="Calibri" w:cs="Times New Roman"/>
                <w:b/>
                <w:szCs w:val="22"/>
              </w:rPr>
              <w:t>in order to</w:t>
            </w:r>
            <w:proofErr w:type="gramEnd"/>
            <w:r w:rsidRPr="0089069B">
              <w:rPr>
                <w:rFonts w:eastAsia="Calibri" w:cs="Times New Roman"/>
                <w:b/>
                <w:szCs w:val="22"/>
              </w:rPr>
              <w:t xml:space="preserve">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8C50178"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lastRenderedPageBreak/>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009D0558" w14:textId="77777777" w:rsidTr="00B90E48">
        <w:trPr>
          <w:trHeight w:val="432"/>
          <w:jc w:val="center"/>
        </w:trPr>
        <w:tc>
          <w:tcPr>
            <w:tcW w:w="14317" w:type="dxa"/>
            <w:tcMar>
              <w:left w:w="115" w:type="dxa"/>
              <w:right w:w="202" w:type="dxa"/>
            </w:tcMar>
          </w:tcPr>
          <w:p w14:paraId="1801300C"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5C8D1079" w14:textId="77777777" w:rsidTr="00B90E48">
        <w:trPr>
          <w:trHeight w:val="1188"/>
          <w:jc w:val="center"/>
        </w:trPr>
        <w:tc>
          <w:tcPr>
            <w:tcW w:w="14317" w:type="dxa"/>
            <w:tcMar>
              <w:left w:w="115" w:type="dxa"/>
              <w:right w:w="202" w:type="dxa"/>
            </w:tcMar>
          </w:tcPr>
          <w:p w14:paraId="22E2B14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6DB89084"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521CF64B" w14:textId="77777777" w:rsidTr="00B90E48">
        <w:trPr>
          <w:trHeight w:val="378"/>
          <w:jc w:val="center"/>
        </w:trPr>
        <w:tc>
          <w:tcPr>
            <w:tcW w:w="14317" w:type="dxa"/>
            <w:tcMar>
              <w:left w:w="115" w:type="dxa"/>
              <w:right w:w="202" w:type="dxa"/>
            </w:tcMar>
          </w:tcPr>
          <w:p w14:paraId="2ABDE59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6AC95C55" w14:textId="77777777" w:rsidTr="00B90E48">
        <w:trPr>
          <w:trHeight w:val="333"/>
          <w:jc w:val="center"/>
        </w:trPr>
        <w:tc>
          <w:tcPr>
            <w:tcW w:w="14317" w:type="dxa"/>
            <w:tcMar>
              <w:left w:w="115" w:type="dxa"/>
              <w:right w:w="202" w:type="dxa"/>
            </w:tcMar>
          </w:tcPr>
          <w:p w14:paraId="3C21766F"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records which are not required </w:t>
            </w:r>
            <w:proofErr w:type="gramStart"/>
            <w:r w:rsidRPr="0089069B">
              <w:rPr>
                <w:rFonts w:eastAsia="Calibri" w:cs="Times New Roman"/>
                <w:b/>
                <w:szCs w:val="22"/>
              </w:rPr>
              <w:t>in order for</w:t>
            </w:r>
            <w:proofErr w:type="gramEnd"/>
            <w:r w:rsidRPr="0089069B">
              <w:rPr>
                <w:rFonts w:eastAsia="Calibri" w:cs="Times New Roman"/>
                <w:b/>
                <w:szCs w:val="22"/>
              </w:rPr>
              <w:t xml:space="preserve"> an agency to resume its core functions following a disaster, as described in Chapter 40.10 RCW.</w:t>
            </w:r>
          </w:p>
        </w:tc>
      </w:tr>
      <w:tr w:rsidR="005A06D7" w:rsidRPr="0089069B" w14:paraId="6ACD58C1" w14:textId="77777777" w:rsidTr="00B90E48">
        <w:trPr>
          <w:trHeight w:val="288"/>
          <w:jc w:val="center"/>
        </w:trPr>
        <w:tc>
          <w:tcPr>
            <w:tcW w:w="14317" w:type="dxa"/>
            <w:tcMar>
              <w:left w:w="115" w:type="dxa"/>
              <w:right w:w="202" w:type="dxa"/>
            </w:tcMar>
          </w:tcPr>
          <w:p w14:paraId="49E82B2E" w14:textId="77777777" w:rsidR="005A06D7" w:rsidRPr="0089069B" w:rsidRDefault="005A06D7" w:rsidP="00011A02">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r w:rsidRPr="0089069B">
              <w:t xml:space="preserve"> </w:t>
            </w:r>
          </w:p>
        </w:tc>
      </w:tr>
      <w:tr w:rsidR="005A06D7" w:rsidRPr="0089069B" w14:paraId="571865FA" w14:textId="77777777" w:rsidTr="00B90E48">
        <w:trPr>
          <w:trHeight w:val="432"/>
          <w:jc w:val="center"/>
        </w:trPr>
        <w:tc>
          <w:tcPr>
            <w:tcW w:w="14317" w:type="dxa"/>
            <w:tcMar>
              <w:left w:w="115" w:type="dxa"/>
              <w:right w:w="202" w:type="dxa"/>
            </w:tcMar>
          </w:tcPr>
          <w:p w14:paraId="62D2C42B"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ABCA0BA"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416EEA1E"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34365FDE" w14:textId="77777777" w:rsidTr="00B90E48">
        <w:trPr>
          <w:trHeight w:val="432"/>
          <w:jc w:val="center"/>
        </w:trPr>
        <w:tc>
          <w:tcPr>
            <w:tcW w:w="14317" w:type="dxa"/>
            <w:tcMar>
              <w:left w:w="115" w:type="dxa"/>
              <w:right w:w="202" w:type="dxa"/>
            </w:tcMar>
          </w:tcPr>
          <w:p w14:paraId="5E0D02E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55470BDF" w14:textId="77777777" w:rsidTr="00B90E48">
        <w:trPr>
          <w:trHeight w:val="288"/>
          <w:jc w:val="center"/>
        </w:trPr>
        <w:tc>
          <w:tcPr>
            <w:tcW w:w="14317" w:type="dxa"/>
            <w:tcMar>
              <w:left w:w="115" w:type="dxa"/>
              <w:right w:w="202" w:type="dxa"/>
            </w:tcMar>
          </w:tcPr>
          <w:p w14:paraId="2508A7B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58169F5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76EBF5F1"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7"/>
      <w:tr w:rsidR="005A06D7" w:rsidRPr="0089069B" w14:paraId="7611D2D4" w14:textId="77777777" w:rsidTr="00B90E48">
        <w:trPr>
          <w:trHeight w:val="441"/>
          <w:jc w:val="center"/>
        </w:trPr>
        <w:tc>
          <w:tcPr>
            <w:tcW w:w="14317" w:type="dxa"/>
            <w:tcMar>
              <w:left w:w="115" w:type="dxa"/>
              <w:right w:w="202" w:type="dxa"/>
            </w:tcMar>
          </w:tcPr>
          <w:p w14:paraId="219F4474"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34F1047F" w14:textId="77777777" w:rsidTr="00B90E48">
        <w:trPr>
          <w:trHeight w:val="432"/>
          <w:jc w:val="center"/>
        </w:trPr>
        <w:tc>
          <w:tcPr>
            <w:tcW w:w="14317" w:type="dxa"/>
            <w:tcMar>
              <w:left w:w="115" w:type="dxa"/>
              <w:right w:w="202" w:type="dxa"/>
            </w:tcMar>
          </w:tcPr>
          <w:p w14:paraId="24D2142A" w14:textId="77777777"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2A5C608F"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lastRenderedPageBreak/>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2FB619F9" w14:textId="77777777" w:rsidTr="00B90E48">
        <w:trPr>
          <w:trHeight w:val="351"/>
          <w:jc w:val="center"/>
        </w:trPr>
        <w:tc>
          <w:tcPr>
            <w:tcW w:w="14317" w:type="dxa"/>
            <w:tcMar>
              <w:left w:w="115" w:type="dxa"/>
              <w:right w:w="202" w:type="dxa"/>
            </w:tcMar>
          </w:tcPr>
          <w:p w14:paraId="1D465EF8"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7C8BD1D0" w14:textId="77777777" w:rsidTr="00B90E48">
        <w:trPr>
          <w:trHeight w:val="432"/>
          <w:jc w:val="center"/>
        </w:trPr>
        <w:tc>
          <w:tcPr>
            <w:tcW w:w="14317" w:type="dxa"/>
            <w:tcMar>
              <w:left w:w="115" w:type="dxa"/>
              <w:right w:w="202" w:type="dxa"/>
            </w:tcMar>
          </w:tcPr>
          <w:p w14:paraId="780F430A"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 xml:space="preserve">A group of records, performing a specific function, which is used as a unit, filed as a unit, and may be transferred or destroyed as a unit. A records series may consist of a single type of form or </w:t>
            </w:r>
            <w:proofErr w:type="gramStart"/>
            <w:r w:rsidRPr="0089069B">
              <w:rPr>
                <w:rFonts w:eastAsia="Calibri" w:cs="Times New Roman"/>
                <w:b/>
                <w:szCs w:val="22"/>
              </w:rPr>
              <w:t>a number of</w:t>
            </w:r>
            <w:proofErr w:type="gramEnd"/>
            <w:r w:rsidRPr="0089069B">
              <w:rPr>
                <w:rFonts w:eastAsia="Calibri" w:cs="Times New Roman"/>
                <w:b/>
                <w:szCs w:val="22"/>
              </w:rPr>
              <w:t xml:space="preserve"> different types of documents that are filed together to document a specific function</w:t>
            </w:r>
            <w:r w:rsidR="004466CC" w:rsidRPr="0089069B">
              <w:rPr>
                <w:rFonts w:eastAsia="Calibri" w:cs="Times New Roman"/>
                <w:b/>
                <w:szCs w:val="22"/>
              </w:rPr>
              <w:t>.</w:t>
            </w:r>
          </w:p>
        </w:tc>
      </w:tr>
      <w:tr w:rsidR="00193EB1" w:rsidRPr="0089069B" w14:paraId="7878824B" w14:textId="77777777" w:rsidTr="00B90E48">
        <w:trPr>
          <w:trHeight w:val="432"/>
          <w:jc w:val="center"/>
        </w:trPr>
        <w:tc>
          <w:tcPr>
            <w:tcW w:w="14317" w:type="dxa"/>
            <w:tcMar>
              <w:left w:w="115" w:type="dxa"/>
              <w:right w:w="202" w:type="dxa"/>
            </w:tcMar>
          </w:tcPr>
          <w:p w14:paraId="1AFD0A15"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8998E56" w14:textId="77777777" w:rsidTr="00B90E48">
        <w:trPr>
          <w:trHeight w:val="432"/>
          <w:jc w:val="center"/>
        </w:trPr>
        <w:tc>
          <w:tcPr>
            <w:tcW w:w="14317" w:type="dxa"/>
            <w:tcMar>
              <w:left w:w="115" w:type="dxa"/>
              <w:right w:w="202" w:type="dxa"/>
            </w:tcMar>
          </w:tcPr>
          <w:p w14:paraId="422B8011"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19DCD9BB"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5F643F2" w14:textId="77777777" w:rsidR="008E7733" w:rsidRDefault="008E7733" w:rsidP="008814A3">
      <w:pPr>
        <w:pStyle w:val="BodyText2"/>
        <w:spacing w:after="0"/>
      </w:pPr>
    </w:p>
    <w:p w14:paraId="1399786D" w14:textId="77777777" w:rsidR="00791D89" w:rsidRDefault="00791D89" w:rsidP="008814A3">
      <w:pPr>
        <w:pStyle w:val="BodyText2"/>
        <w:spacing w:after="0"/>
      </w:pPr>
    </w:p>
    <w:p w14:paraId="01ADBB74" w14:textId="77777777" w:rsidR="008E7733" w:rsidRDefault="008E7733" w:rsidP="008814A3">
      <w:pPr>
        <w:pStyle w:val="BodyText2"/>
        <w:spacing w:after="0"/>
        <w:sectPr w:rsidR="008E7733" w:rsidSect="00255C92">
          <w:footerReference w:type="default" r:id="rId13"/>
          <w:pgSz w:w="15840" w:h="12240" w:orient="landscape" w:code="1"/>
          <w:pgMar w:top="1080" w:right="720" w:bottom="1080" w:left="720" w:header="1080" w:footer="720" w:gutter="0"/>
          <w:cols w:space="720"/>
          <w:docGrid w:linePitch="360"/>
        </w:sectPr>
      </w:pPr>
    </w:p>
    <w:p w14:paraId="00FCFA0E" w14:textId="77777777" w:rsidR="008E7733" w:rsidRDefault="008E7733" w:rsidP="006852E3">
      <w:pPr>
        <w:pStyle w:val="TOCwno"/>
      </w:pPr>
      <w:bookmarkStart w:id="10" w:name="_Toc466973718"/>
      <w:r>
        <w:lastRenderedPageBreak/>
        <w:t>INDEXES</w:t>
      </w:r>
      <w:bookmarkEnd w:id="10"/>
    </w:p>
    <w:p w14:paraId="0411A550" w14:textId="77777777" w:rsidR="008E7733" w:rsidRPr="006852E3" w:rsidRDefault="008E7733" w:rsidP="006852E3">
      <w:pPr>
        <w:spacing w:before="240" w:after="120"/>
        <w:jc w:val="center"/>
        <w:rPr>
          <w:b/>
          <w:sz w:val="32"/>
          <w:szCs w:val="32"/>
        </w:rPr>
      </w:pPr>
      <w:r w:rsidRPr="006852E3">
        <w:rPr>
          <w:b/>
          <w:sz w:val="32"/>
          <w:szCs w:val="32"/>
        </w:rPr>
        <w:t>ARCHIVAL RECORDS INDEX</w:t>
      </w:r>
    </w:p>
    <w:p w14:paraId="33FF9758" w14:textId="77777777" w:rsid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14:paraId="6F5DD4E7" w14:textId="77777777" w:rsidR="006852E3" w:rsidRDefault="006852E3" w:rsidP="006852E3">
      <w:pPr>
        <w:spacing w:before="240" w:after="120"/>
        <w:jc w:val="center"/>
        <w:rPr>
          <w:b/>
          <w:sz w:val="32"/>
          <w:szCs w:val="32"/>
        </w:rPr>
      </w:pPr>
    </w:p>
    <w:p w14:paraId="7DBD8E56" w14:textId="77777777" w:rsidR="008E7733" w:rsidRPr="006852E3" w:rsidRDefault="008E7733" w:rsidP="006852E3">
      <w:pPr>
        <w:spacing w:before="240" w:after="120"/>
        <w:jc w:val="center"/>
        <w:rPr>
          <w:b/>
          <w:sz w:val="32"/>
          <w:szCs w:val="32"/>
        </w:rPr>
      </w:pPr>
      <w:r w:rsidRPr="006852E3">
        <w:rPr>
          <w:b/>
          <w:sz w:val="32"/>
          <w:szCs w:val="32"/>
        </w:rPr>
        <w:t>ESSENTIAL RECORDS INDEX</w:t>
      </w:r>
    </w:p>
    <w:p w14:paraId="6C0A7326" w14:textId="77777777" w:rsidR="00A41735" w:rsidRPr="0082620D" w:rsidRDefault="00A41735" w:rsidP="00A41735">
      <w:pPr>
        <w:pStyle w:val="BodyText2"/>
        <w:spacing w:line="240" w:lineRule="auto"/>
        <w:jc w:val="center"/>
        <w:outlineLvl w:val="0"/>
        <w:rPr>
          <w:i/>
          <w:szCs w:val="22"/>
        </w:rPr>
      </w:pPr>
      <w:r w:rsidRPr="0082620D">
        <w:rPr>
          <w:i/>
          <w:szCs w:val="22"/>
        </w:rPr>
        <w:t xml:space="preserve">See the State Government General Records Retention Schedule </w:t>
      </w:r>
      <w:r w:rsidR="006852E3" w:rsidRPr="0082620D">
        <w:rPr>
          <w:i/>
          <w:szCs w:val="22"/>
        </w:rPr>
        <w:t>for “</w:t>
      </w:r>
      <w:r>
        <w:rPr>
          <w:i/>
          <w:szCs w:val="22"/>
        </w:rPr>
        <w:t>Essential</w:t>
      </w:r>
      <w:r w:rsidRPr="0082620D">
        <w:rPr>
          <w:i/>
          <w:szCs w:val="22"/>
        </w:rPr>
        <w:t>” records.</w:t>
      </w:r>
    </w:p>
    <w:p w14:paraId="67F06706" w14:textId="77777777" w:rsidR="006852E3" w:rsidRDefault="006852E3" w:rsidP="006852E3">
      <w:pPr>
        <w:spacing w:before="240" w:after="120"/>
        <w:jc w:val="center"/>
        <w:rPr>
          <w:b/>
          <w:sz w:val="32"/>
          <w:szCs w:val="32"/>
        </w:rPr>
      </w:pPr>
    </w:p>
    <w:p w14:paraId="0CAD3284" w14:textId="77777777" w:rsidR="00622B6B" w:rsidRPr="006852E3" w:rsidRDefault="008E7733" w:rsidP="006852E3">
      <w:pPr>
        <w:spacing w:before="240" w:after="120"/>
        <w:jc w:val="center"/>
        <w:rPr>
          <w:b/>
          <w:sz w:val="32"/>
          <w:szCs w:val="32"/>
        </w:rPr>
      </w:pPr>
      <w:r w:rsidRPr="006852E3">
        <w:rPr>
          <w:b/>
          <w:sz w:val="32"/>
          <w:szCs w:val="32"/>
        </w:rPr>
        <w:t>DISPOSITION AUTHORITY NUMBERS (DAN’S) INDEX</w:t>
      </w:r>
    </w:p>
    <w:p w14:paraId="6B77A38E" w14:textId="77777777" w:rsidR="002D2C88" w:rsidRDefault="002D2C88" w:rsidP="00E7522C">
      <w:pPr>
        <w:pStyle w:val="BodyText2"/>
        <w:spacing w:after="0"/>
        <w:rPr>
          <w:sz w:val="18"/>
          <w:szCs w:val="18"/>
        </w:rPr>
      </w:pPr>
    </w:p>
    <w:p w14:paraId="29BB3FDF" w14:textId="77777777" w:rsidR="005E25BB" w:rsidRDefault="002374C7" w:rsidP="00715D43">
      <w:pPr>
        <w:pStyle w:val="BodyText2"/>
        <w:spacing w:after="0"/>
        <w:rPr>
          <w:noProof/>
          <w:color w:val="FF0000"/>
          <w:sz w:val="18"/>
          <w:szCs w:val="18"/>
        </w:rPr>
        <w:sectPr w:rsidR="005E25BB" w:rsidSect="005E25BB">
          <w:footerReference w:type="default" r:id="rId14"/>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F8E1C2A" w14:textId="77777777" w:rsidR="005E25BB" w:rsidRDefault="005E25BB">
      <w:pPr>
        <w:pStyle w:val="Index1"/>
        <w:tabs>
          <w:tab w:val="right" w:leader="dot" w:pos="3050"/>
        </w:tabs>
        <w:rPr>
          <w:noProof/>
        </w:rPr>
      </w:pPr>
      <w:r>
        <w:rPr>
          <w:noProof/>
        </w:rPr>
        <w:t>84-03-33619</w:t>
      </w:r>
      <w:r>
        <w:rPr>
          <w:noProof/>
        </w:rPr>
        <w:tab/>
        <w:t>5</w:t>
      </w:r>
    </w:p>
    <w:p w14:paraId="59DB3C0A" w14:textId="77777777" w:rsidR="005E25BB" w:rsidRDefault="005E25BB">
      <w:pPr>
        <w:pStyle w:val="Index1"/>
        <w:tabs>
          <w:tab w:val="right" w:leader="dot" w:pos="3050"/>
        </w:tabs>
        <w:rPr>
          <w:noProof/>
        </w:rPr>
      </w:pPr>
      <w:r>
        <w:rPr>
          <w:noProof/>
        </w:rPr>
        <w:t>85-02-35047</w:t>
      </w:r>
      <w:r>
        <w:rPr>
          <w:noProof/>
        </w:rPr>
        <w:tab/>
        <w:t>4</w:t>
      </w:r>
    </w:p>
    <w:p w14:paraId="6B5151C7" w14:textId="77777777" w:rsidR="005E25BB" w:rsidRDefault="005E25BB" w:rsidP="00715D43">
      <w:pPr>
        <w:pStyle w:val="BodyText2"/>
        <w:spacing w:after="0"/>
        <w:rPr>
          <w:noProof/>
          <w:color w:val="FF0000"/>
          <w:sz w:val="18"/>
          <w:szCs w:val="18"/>
        </w:rPr>
        <w:sectPr w:rsidR="005E25BB" w:rsidSect="005E25BB">
          <w:type w:val="continuous"/>
          <w:pgSz w:w="15840" w:h="12240" w:orient="landscape" w:code="1"/>
          <w:pgMar w:top="1080" w:right="720" w:bottom="1080" w:left="720" w:header="1080" w:footer="720" w:gutter="0"/>
          <w:cols w:num="4" w:space="720"/>
          <w:docGrid w:linePitch="360"/>
        </w:sectPr>
      </w:pPr>
    </w:p>
    <w:p w14:paraId="08B0AB63"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CABA3A4" w14:textId="77777777" w:rsidR="00E20A91" w:rsidRPr="006219C6" w:rsidRDefault="002374C7" w:rsidP="00E7522C">
      <w:pPr>
        <w:pStyle w:val="BodyText2"/>
        <w:spacing w:after="0"/>
        <w:rPr>
          <w:noProof/>
          <w:color w:val="FF0000"/>
          <w:sz w:val="18"/>
          <w:szCs w:val="18"/>
        </w:rPr>
        <w:sectPr w:rsidR="00E20A91" w:rsidRPr="006219C6" w:rsidSect="005E25BB">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5FB1D0FF" w14:textId="77777777" w:rsidR="00A41735" w:rsidRDefault="002374C7" w:rsidP="00A41735">
      <w:pPr>
        <w:pStyle w:val="Normal16"/>
        <w:spacing w:after="0"/>
      </w:pPr>
      <w:r>
        <w:rPr>
          <w:sz w:val="18"/>
          <w:szCs w:val="18"/>
        </w:rPr>
        <w:lastRenderedPageBreak/>
        <w:fldChar w:fldCharType="end"/>
      </w:r>
      <w:r w:rsidR="003F02FB" w:rsidRPr="00C04DC1">
        <w:t>INDEX: SubjectS</w:t>
      </w:r>
    </w:p>
    <w:p w14:paraId="43ABC1BE"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5E9DAFA" w14:textId="77777777" w:rsidR="00AE68E7" w:rsidRDefault="002374C7" w:rsidP="00F879B2">
      <w:pPr>
        <w:pStyle w:val="Normal16"/>
        <w:jc w:val="left"/>
        <w:rPr>
          <w:b w:val="0"/>
          <w:caps w:val="0"/>
          <w:noProof/>
          <w:sz w:val="22"/>
        </w:rPr>
        <w:sectPr w:rsidR="00AE68E7" w:rsidSect="00AE68E7">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57828E92"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A</w:t>
      </w:r>
    </w:p>
    <w:p w14:paraId="46A46A81" w14:textId="77777777" w:rsidR="00AE68E7" w:rsidRDefault="00AE68E7">
      <w:pPr>
        <w:pStyle w:val="Index1"/>
        <w:tabs>
          <w:tab w:val="right" w:leader="dot" w:pos="4310"/>
        </w:tabs>
        <w:rPr>
          <w:noProof/>
        </w:rPr>
      </w:pPr>
      <w:r w:rsidRPr="007C5E76">
        <w:rPr>
          <w:bCs/>
          <w:noProof/>
        </w:rPr>
        <w:t>advisory council records</w:t>
      </w:r>
      <w:r>
        <w:rPr>
          <w:noProof/>
        </w:rPr>
        <w:tab/>
      </w:r>
      <w:r w:rsidRPr="007C5E76">
        <w:rPr>
          <w:bCs/>
          <w:i/>
          <w:noProof/>
        </w:rPr>
        <w:t>see SGGRRS</w:t>
      </w:r>
    </w:p>
    <w:p w14:paraId="2C96AD2F" w14:textId="77777777" w:rsidR="00AE68E7" w:rsidRDefault="00AE68E7">
      <w:pPr>
        <w:pStyle w:val="Index1"/>
        <w:tabs>
          <w:tab w:val="right" w:leader="dot" w:pos="4310"/>
        </w:tabs>
        <w:rPr>
          <w:noProof/>
        </w:rPr>
      </w:pPr>
      <w:r w:rsidRPr="007C5E76">
        <w:rPr>
          <w:bCs/>
          <w:noProof/>
        </w:rPr>
        <w:t>agreements</w:t>
      </w:r>
      <w:r>
        <w:rPr>
          <w:noProof/>
        </w:rPr>
        <w:tab/>
      </w:r>
      <w:r w:rsidRPr="007C5E76">
        <w:rPr>
          <w:bCs/>
          <w:i/>
          <w:noProof/>
        </w:rPr>
        <w:t>see SGGRRS</w:t>
      </w:r>
    </w:p>
    <w:p w14:paraId="2B7EA124" w14:textId="77777777" w:rsidR="00AE68E7" w:rsidRDefault="00AE68E7">
      <w:pPr>
        <w:pStyle w:val="Index1"/>
        <w:tabs>
          <w:tab w:val="right" w:leader="dot" w:pos="4310"/>
        </w:tabs>
        <w:rPr>
          <w:noProof/>
        </w:rPr>
      </w:pPr>
      <w:r w:rsidRPr="007C5E76">
        <w:rPr>
          <w:bCs/>
          <w:noProof/>
        </w:rPr>
        <w:t>asset management</w:t>
      </w:r>
      <w:r>
        <w:rPr>
          <w:noProof/>
        </w:rPr>
        <w:tab/>
      </w:r>
      <w:r w:rsidRPr="007C5E76">
        <w:rPr>
          <w:bCs/>
          <w:i/>
          <w:noProof/>
        </w:rPr>
        <w:t>see SGGRRS</w:t>
      </w:r>
    </w:p>
    <w:p w14:paraId="33F8BD58" w14:textId="77777777" w:rsidR="00AE68E7" w:rsidRDefault="00AE68E7">
      <w:pPr>
        <w:pStyle w:val="Index1"/>
        <w:tabs>
          <w:tab w:val="right" w:leader="dot" w:pos="4310"/>
        </w:tabs>
        <w:rPr>
          <w:noProof/>
        </w:rPr>
      </w:pPr>
      <w:r w:rsidRPr="007C5E76">
        <w:rPr>
          <w:bCs/>
          <w:noProof/>
        </w:rPr>
        <w:t>audits</w:t>
      </w:r>
      <w:r>
        <w:rPr>
          <w:noProof/>
        </w:rPr>
        <w:tab/>
      </w:r>
      <w:r w:rsidRPr="007C5E76">
        <w:rPr>
          <w:bCs/>
          <w:i/>
          <w:noProof/>
        </w:rPr>
        <w:t>see SGGRRS</w:t>
      </w:r>
    </w:p>
    <w:p w14:paraId="68849595"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B</w:t>
      </w:r>
    </w:p>
    <w:p w14:paraId="416B734F" w14:textId="77777777" w:rsidR="00AE68E7" w:rsidRDefault="00AE68E7">
      <w:pPr>
        <w:pStyle w:val="Index1"/>
        <w:tabs>
          <w:tab w:val="right" w:leader="dot" w:pos="4310"/>
        </w:tabs>
        <w:rPr>
          <w:noProof/>
        </w:rPr>
      </w:pPr>
      <w:r w:rsidRPr="007C5E76">
        <w:rPr>
          <w:bCs/>
          <w:noProof/>
        </w:rPr>
        <w:t>backups</w:t>
      </w:r>
      <w:r>
        <w:rPr>
          <w:noProof/>
        </w:rPr>
        <w:tab/>
      </w:r>
      <w:r w:rsidRPr="007C5E76">
        <w:rPr>
          <w:bCs/>
          <w:i/>
          <w:noProof/>
        </w:rPr>
        <w:t>see SGGRRS</w:t>
      </w:r>
    </w:p>
    <w:p w14:paraId="5233730B" w14:textId="77777777" w:rsidR="00AE68E7" w:rsidRDefault="00AE68E7">
      <w:pPr>
        <w:pStyle w:val="Index1"/>
        <w:tabs>
          <w:tab w:val="right" w:leader="dot" w:pos="4310"/>
        </w:tabs>
        <w:rPr>
          <w:noProof/>
        </w:rPr>
      </w:pPr>
      <w:r w:rsidRPr="007C5E76">
        <w:rPr>
          <w:bCs/>
          <w:noProof/>
        </w:rPr>
        <w:t>budgeting</w:t>
      </w:r>
      <w:r>
        <w:rPr>
          <w:noProof/>
        </w:rPr>
        <w:tab/>
      </w:r>
      <w:r w:rsidRPr="007C5E76">
        <w:rPr>
          <w:bCs/>
          <w:i/>
          <w:noProof/>
        </w:rPr>
        <w:t>see SGGRRS</w:t>
      </w:r>
    </w:p>
    <w:p w14:paraId="1AD14291" w14:textId="77777777" w:rsidR="00AE68E7" w:rsidRDefault="00AE68E7">
      <w:pPr>
        <w:pStyle w:val="Index1"/>
        <w:tabs>
          <w:tab w:val="right" w:leader="dot" w:pos="4310"/>
        </w:tabs>
        <w:rPr>
          <w:noProof/>
        </w:rPr>
      </w:pPr>
      <w:r w:rsidRPr="007C5E76">
        <w:rPr>
          <w:bCs/>
          <w:noProof/>
        </w:rPr>
        <w:t>Business Enterprise Program</w:t>
      </w:r>
      <w:r>
        <w:rPr>
          <w:noProof/>
        </w:rPr>
        <w:tab/>
        <w:t>4</w:t>
      </w:r>
    </w:p>
    <w:p w14:paraId="68F378C9"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C</w:t>
      </w:r>
    </w:p>
    <w:p w14:paraId="5F6D9521" w14:textId="77777777" w:rsidR="00AE68E7" w:rsidRDefault="00AE68E7">
      <w:pPr>
        <w:pStyle w:val="Index1"/>
        <w:tabs>
          <w:tab w:val="right" w:leader="dot" w:pos="4310"/>
        </w:tabs>
        <w:rPr>
          <w:noProof/>
        </w:rPr>
      </w:pPr>
      <w:r w:rsidRPr="007C5E76">
        <w:rPr>
          <w:bCs/>
          <w:noProof/>
        </w:rPr>
        <w:t>case service</w:t>
      </w:r>
      <w:r>
        <w:rPr>
          <w:noProof/>
        </w:rPr>
        <w:tab/>
        <w:t>5</w:t>
      </w:r>
    </w:p>
    <w:p w14:paraId="09FEF23A" w14:textId="77777777" w:rsidR="00AE68E7" w:rsidRDefault="00AE68E7">
      <w:pPr>
        <w:pStyle w:val="Index1"/>
        <w:tabs>
          <w:tab w:val="right" w:leader="dot" w:pos="4310"/>
        </w:tabs>
        <w:rPr>
          <w:noProof/>
        </w:rPr>
      </w:pPr>
      <w:r w:rsidRPr="007C5E76">
        <w:rPr>
          <w:bCs/>
          <w:noProof/>
        </w:rPr>
        <w:t>complaints</w:t>
      </w:r>
      <w:r>
        <w:rPr>
          <w:noProof/>
        </w:rPr>
        <w:tab/>
      </w:r>
      <w:r w:rsidRPr="007C5E76">
        <w:rPr>
          <w:bCs/>
          <w:i/>
          <w:noProof/>
        </w:rPr>
        <w:t>see SGGRRS</w:t>
      </w:r>
    </w:p>
    <w:p w14:paraId="149F4961" w14:textId="77777777" w:rsidR="00AE68E7" w:rsidRDefault="00AE68E7">
      <w:pPr>
        <w:pStyle w:val="Index1"/>
        <w:tabs>
          <w:tab w:val="right" w:leader="dot" w:pos="4310"/>
        </w:tabs>
        <w:rPr>
          <w:noProof/>
        </w:rPr>
      </w:pPr>
      <w:r w:rsidRPr="007C5E76">
        <w:rPr>
          <w:bCs/>
          <w:noProof/>
        </w:rPr>
        <w:t>contracts</w:t>
      </w:r>
      <w:r>
        <w:rPr>
          <w:noProof/>
        </w:rPr>
        <w:tab/>
      </w:r>
      <w:r w:rsidRPr="007C5E76">
        <w:rPr>
          <w:bCs/>
          <w:i/>
          <w:noProof/>
        </w:rPr>
        <w:t>see SGGRRS</w:t>
      </w:r>
    </w:p>
    <w:p w14:paraId="3DCECB75"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E</w:t>
      </w:r>
    </w:p>
    <w:p w14:paraId="41600A57" w14:textId="77777777" w:rsidR="00AE68E7" w:rsidRDefault="00AE68E7">
      <w:pPr>
        <w:pStyle w:val="Index1"/>
        <w:tabs>
          <w:tab w:val="right" w:leader="dot" w:pos="4310"/>
        </w:tabs>
        <w:rPr>
          <w:noProof/>
        </w:rPr>
      </w:pPr>
      <w:r w:rsidRPr="007C5E76">
        <w:rPr>
          <w:bCs/>
          <w:noProof/>
        </w:rPr>
        <w:t>employment services</w:t>
      </w:r>
      <w:r>
        <w:rPr>
          <w:noProof/>
        </w:rPr>
        <w:tab/>
        <w:t>5</w:t>
      </w:r>
    </w:p>
    <w:p w14:paraId="1C798659"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F</w:t>
      </w:r>
    </w:p>
    <w:p w14:paraId="7D23B688" w14:textId="77777777" w:rsidR="00AE68E7" w:rsidRDefault="00AE68E7">
      <w:pPr>
        <w:pStyle w:val="Index1"/>
        <w:tabs>
          <w:tab w:val="right" w:leader="dot" w:pos="4310"/>
        </w:tabs>
        <w:rPr>
          <w:noProof/>
        </w:rPr>
      </w:pPr>
      <w:r w:rsidRPr="007C5E76">
        <w:rPr>
          <w:bCs/>
          <w:noProof/>
        </w:rPr>
        <w:t>facilities</w:t>
      </w:r>
      <w:r>
        <w:rPr>
          <w:noProof/>
        </w:rPr>
        <w:tab/>
      </w:r>
      <w:r w:rsidRPr="007C5E76">
        <w:rPr>
          <w:bCs/>
          <w:i/>
          <w:noProof/>
        </w:rPr>
        <w:t>see SGGRRS</w:t>
      </w:r>
    </w:p>
    <w:p w14:paraId="5E1E7411" w14:textId="77777777" w:rsidR="00AE68E7" w:rsidRDefault="00AE68E7">
      <w:pPr>
        <w:pStyle w:val="Index1"/>
        <w:tabs>
          <w:tab w:val="right" w:leader="dot" w:pos="4310"/>
        </w:tabs>
        <w:rPr>
          <w:noProof/>
        </w:rPr>
      </w:pPr>
      <w:r w:rsidRPr="007C5E76">
        <w:rPr>
          <w:bCs/>
          <w:noProof/>
        </w:rPr>
        <w:t>financial records</w:t>
      </w:r>
      <w:r>
        <w:rPr>
          <w:noProof/>
        </w:rPr>
        <w:tab/>
      </w:r>
      <w:r w:rsidRPr="007C5E76">
        <w:rPr>
          <w:bCs/>
          <w:i/>
          <w:noProof/>
        </w:rPr>
        <w:t>see SGGRRS</w:t>
      </w:r>
    </w:p>
    <w:p w14:paraId="5157A956"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G</w:t>
      </w:r>
    </w:p>
    <w:p w14:paraId="2B081711" w14:textId="77777777" w:rsidR="00AE68E7" w:rsidRDefault="00AE68E7">
      <w:pPr>
        <w:pStyle w:val="Index1"/>
        <w:tabs>
          <w:tab w:val="right" w:leader="dot" w:pos="4310"/>
        </w:tabs>
        <w:rPr>
          <w:noProof/>
        </w:rPr>
      </w:pPr>
      <w:r w:rsidRPr="007C5E76">
        <w:rPr>
          <w:bCs/>
          <w:noProof/>
        </w:rPr>
        <w:t>grants</w:t>
      </w:r>
      <w:r>
        <w:rPr>
          <w:noProof/>
        </w:rPr>
        <w:tab/>
      </w:r>
      <w:r w:rsidRPr="007C5E76">
        <w:rPr>
          <w:bCs/>
          <w:i/>
          <w:noProof/>
        </w:rPr>
        <w:t>see SGGRRS</w:t>
      </w:r>
    </w:p>
    <w:p w14:paraId="7069C44F" w14:textId="77777777" w:rsidR="00AE68E7" w:rsidRDefault="00AE68E7">
      <w:pPr>
        <w:pStyle w:val="Index1"/>
        <w:tabs>
          <w:tab w:val="right" w:leader="dot" w:pos="4310"/>
        </w:tabs>
        <w:rPr>
          <w:noProof/>
        </w:rPr>
      </w:pPr>
      <w:r w:rsidRPr="007C5E76">
        <w:rPr>
          <w:bCs/>
          <w:noProof/>
        </w:rPr>
        <w:t>grievances</w:t>
      </w:r>
      <w:r>
        <w:rPr>
          <w:noProof/>
        </w:rPr>
        <w:tab/>
      </w:r>
      <w:r w:rsidRPr="007C5E76">
        <w:rPr>
          <w:bCs/>
          <w:i/>
          <w:noProof/>
        </w:rPr>
        <w:t>see SGGRRS</w:t>
      </w:r>
    </w:p>
    <w:p w14:paraId="249D0270"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H</w:t>
      </w:r>
    </w:p>
    <w:p w14:paraId="3673405B" w14:textId="77777777" w:rsidR="00AE68E7" w:rsidRDefault="00AE68E7">
      <w:pPr>
        <w:pStyle w:val="Index1"/>
        <w:tabs>
          <w:tab w:val="right" w:leader="dot" w:pos="4310"/>
        </w:tabs>
        <w:rPr>
          <w:noProof/>
        </w:rPr>
      </w:pPr>
      <w:r w:rsidRPr="007C5E76">
        <w:rPr>
          <w:bCs/>
          <w:noProof/>
        </w:rPr>
        <w:t>human resources</w:t>
      </w:r>
      <w:r>
        <w:rPr>
          <w:noProof/>
        </w:rPr>
        <w:tab/>
      </w:r>
      <w:r w:rsidRPr="007C5E76">
        <w:rPr>
          <w:bCs/>
          <w:i/>
          <w:noProof/>
        </w:rPr>
        <w:t>see SGGRRS</w:t>
      </w:r>
    </w:p>
    <w:p w14:paraId="7E78A956"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I</w:t>
      </w:r>
    </w:p>
    <w:p w14:paraId="760556FA" w14:textId="77777777" w:rsidR="00AE68E7" w:rsidRDefault="00AE68E7">
      <w:pPr>
        <w:pStyle w:val="Index1"/>
        <w:tabs>
          <w:tab w:val="right" w:leader="dot" w:pos="4310"/>
        </w:tabs>
        <w:rPr>
          <w:noProof/>
        </w:rPr>
      </w:pPr>
      <w:r w:rsidRPr="007C5E76">
        <w:rPr>
          <w:bCs/>
          <w:noProof/>
        </w:rPr>
        <w:t>independent living services</w:t>
      </w:r>
      <w:r>
        <w:rPr>
          <w:noProof/>
        </w:rPr>
        <w:tab/>
        <w:t>5</w:t>
      </w:r>
    </w:p>
    <w:p w14:paraId="45E6B612" w14:textId="77777777" w:rsidR="00AE68E7" w:rsidRDefault="00AE68E7">
      <w:pPr>
        <w:pStyle w:val="Index1"/>
        <w:tabs>
          <w:tab w:val="right" w:leader="dot" w:pos="4310"/>
        </w:tabs>
        <w:rPr>
          <w:noProof/>
        </w:rPr>
      </w:pPr>
      <w:r w:rsidRPr="007C5E76">
        <w:rPr>
          <w:bCs/>
          <w:noProof/>
        </w:rPr>
        <w:t>information systems</w:t>
      </w:r>
      <w:r>
        <w:rPr>
          <w:noProof/>
        </w:rPr>
        <w:tab/>
      </w:r>
      <w:r w:rsidRPr="007C5E76">
        <w:rPr>
          <w:bCs/>
          <w:i/>
          <w:noProof/>
        </w:rPr>
        <w:t>see SGGRRS</w:t>
      </w:r>
    </w:p>
    <w:p w14:paraId="3EE3B71E"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L</w:t>
      </w:r>
    </w:p>
    <w:p w14:paraId="40F4C6ED" w14:textId="77777777" w:rsidR="00AE68E7" w:rsidRDefault="00AE68E7">
      <w:pPr>
        <w:pStyle w:val="Index1"/>
        <w:tabs>
          <w:tab w:val="right" w:leader="dot" w:pos="4310"/>
        </w:tabs>
        <w:rPr>
          <w:noProof/>
        </w:rPr>
      </w:pPr>
      <w:r w:rsidRPr="007C5E76">
        <w:rPr>
          <w:bCs/>
          <w:noProof/>
        </w:rPr>
        <w:t>leave</w:t>
      </w:r>
      <w:r>
        <w:rPr>
          <w:noProof/>
        </w:rPr>
        <w:tab/>
      </w:r>
      <w:r w:rsidRPr="007C5E76">
        <w:rPr>
          <w:bCs/>
          <w:i/>
          <w:noProof/>
        </w:rPr>
        <w:t>see SGGRRS</w:t>
      </w:r>
    </w:p>
    <w:p w14:paraId="09804173" w14:textId="77777777" w:rsidR="00AE68E7" w:rsidRDefault="00AE68E7">
      <w:pPr>
        <w:pStyle w:val="Index1"/>
        <w:tabs>
          <w:tab w:val="right" w:leader="dot" w:pos="4310"/>
        </w:tabs>
        <w:rPr>
          <w:noProof/>
        </w:rPr>
      </w:pPr>
      <w:r w:rsidRPr="007C5E76">
        <w:rPr>
          <w:bCs/>
          <w:noProof/>
        </w:rPr>
        <w:t>legal affairs</w:t>
      </w:r>
      <w:r>
        <w:rPr>
          <w:noProof/>
        </w:rPr>
        <w:tab/>
      </w:r>
      <w:r w:rsidRPr="007C5E76">
        <w:rPr>
          <w:bCs/>
          <w:i/>
          <w:noProof/>
        </w:rPr>
        <w:t>see SGGRRS</w:t>
      </w:r>
    </w:p>
    <w:p w14:paraId="185B99F8"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M</w:t>
      </w:r>
    </w:p>
    <w:p w14:paraId="0D2E739F" w14:textId="77777777" w:rsidR="00AE68E7" w:rsidRDefault="00AE68E7">
      <w:pPr>
        <w:pStyle w:val="Index1"/>
        <w:tabs>
          <w:tab w:val="right" w:leader="dot" w:pos="4310"/>
        </w:tabs>
        <w:rPr>
          <w:noProof/>
        </w:rPr>
      </w:pPr>
      <w:r w:rsidRPr="007C5E76">
        <w:rPr>
          <w:bCs/>
          <w:noProof/>
        </w:rPr>
        <w:t>mail services</w:t>
      </w:r>
      <w:r>
        <w:rPr>
          <w:noProof/>
        </w:rPr>
        <w:tab/>
      </w:r>
      <w:r w:rsidRPr="007C5E76">
        <w:rPr>
          <w:bCs/>
          <w:i/>
          <w:noProof/>
        </w:rPr>
        <w:t>see SGGRRS</w:t>
      </w:r>
    </w:p>
    <w:p w14:paraId="4A165AE6" w14:textId="77777777" w:rsidR="00AE68E7" w:rsidRDefault="00AE68E7">
      <w:pPr>
        <w:pStyle w:val="Index1"/>
        <w:tabs>
          <w:tab w:val="right" w:leader="dot" w:pos="4310"/>
        </w:tabs>
        <w:rPr>
          <w:noProof/>
        </w:rPr>
      </w:pPr>
      <w:r w:rsidRPr="007C5E76">
        <w:rPr>
          <w:bCs/>
          <w:noProof/>
        </w:rPr>
        <w:t>media releases</w:t>
      </w:r>
      <w:r>
        <w:rPr>
          <w:noProof/>
        </w:rPr>
        <w:tab/>
      </w:r>
      <w:r w:rsidRPr="007C5E76">
        <w:rPr>
          <w:bCs/>
          <w:i/>
          <w:noProof/>
        </w:rPr>
        <w:t>see SGGRRS</w:t>
      </w:r>
    </w:p>
    <w:p w14:paraId="56AA15FA" w14:textId="77777777" w:rsidR="00AE68E7" w:rsidRDefault="00AE68E7">
      <w:pPr>
        <w:pStyle w:val="Index1"/>
        <w:tabs>
          <w:tab w:val="right" w:leader="dot" w:pos="4310"/>
        </w:tabs>
        <w:rPr>
          <w:noProof/>
        </w:rPr>
      </w:pPr>
      <w:r w:rsidRPr="007C5E76">
        <w:rPr>
          <w:bCs/>
          <w:noProof/>
        </w:rPr>
        <w:t>meetings</w:t>
      </w:r>
      <w:r>
        <w:rPr>
          <w:noProof/>
        </w:rPr>
        <w:tab/>
      </w:r>
      <w:r w:rsidRPr="007C5E76">
        <w:rPr>
          <w:bCs/>
          <w:i/>
          <w:noProof/>
        </w:rPr>
        <w:t>see SGGRRS</w:t>
      </w:r>
    </w:p>
    <w:p w14:paraId="5619EB4A" w14:textId="77777777" w:rsidR="00AE68E7" w:rsidRDefault="00AE68E7">
      <w:pPr>
        <w:pStyle w:val="Index1"/>
        <w:tabs>
          <w:tab w:val="right" w:leader="dot" w:pos="4310"/>
        </w:tabs>
        <w:rPr>
          <w:noProof/>
        </w:rPr>
      </w:pPr>
      <w:r w:rsidRPr="007C5E76">
        <w:rPr>
          <w:bCs/>
          <w:noProof/>
        </w:rPr>
        <w:t>motor vehicles</w:t>
      </w:r>
      <w:r>
        <w:rPr>
          <w:noProof/>
        </w:rPr>
        <w:tab/>
      </w:r>
      <w:r w:rsidRPr="007C5E76">
        <w:rPr>
          <w:bCs/>
          <w:i/>
          <w:noProof/>
        </w:rPr>
        <w:t>see SGGRRS</w:t>
      </w:r>
    </w:p>
    <w:p w14:paraId="3B645D0F"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N</w:t>
      </w:r>
    </w:p>
    <w:p w14:paraId="1452E6DD" w14:textId="77777777" w:rsidR="00AE68E7" w:rsidRDefault="00AE68E7">
      <w:pPr>
        <w:pStyle w:val="Index1"/>
        <w:tabs>
          <w:tab w:val="right" w:leader="dot" w:pos="4310"/>
        </w:tabs>
        <w:rPr>
          <w:noProof/>
        </w:rPr>
      </w:pPr>
      <w:r w:rsidRPr="007C5E76">
        <w:rPr>
          <w:bCs/>
          <w:noProof/>
        </w:rPr>
        <w:t>news clippings/releases</w:t>
      </w:r>
      <w:r>
        <w:rPr>
          <w:noProof/>
        </w:rPr>
        <w:tab/>
      </w:r>
      <w:r w:rsidRPr="007C5E76">
        <w:rPr>
          <w:bCs/>
          <w:i/>
          <w:noProof/>
        </w:rPr>
        <w:t>see SGGRRS</w:t>
      </w:r>
    </w:p>
    <w:p w14:paraId="4B6F5AAA"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O</w:t>
      </w:r>
    </w:p>
    <w:p w14:paraId="09F6164F" w14:textId="77777777" w:rsidR="00AE68E7" w:rsidRDefault="00AE68E7">
      <w:pPr>
        <w:pStyle w:val="Index1"/>
        <w:tabs>
          <w:tab w:val="right" w:leader="dot" w:pos="4310"/>
        </w:tabs>
        <w:rPr>
          <w:noProof/>
        </w:rPr>
      </w:pPr>
      <w:r w:rsidRPr="007C5E76">
        <w:rPr>
          <w:bCs/>
          <w:noProof/>
        </w:rPr>
        <w:t>organization charts</w:t>
      </w:r>
      <w:r>
        <w:rPr>
          <w:noProof/>
        </w:rPr>
        <w:tab/>
      </w:r>
      <w:r w:rsidRPr="007C5E76">
        <w:rPr>
          <w:bCs/>
          <w:i/>
          <w:noProof/>
        </w:rPr>
        <w:t>see SGGRRS</w:t>
      </w:r>
    </w:p>
    <w:p w14:paraId="40C2936A"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P</w:t>
      </w:r>
    </w:p>
    <w:p w14:paraId="039E24A0" w14:textId="77777777" w:rsidR="00AE68E7" w:rsidRDefault="00AE68E7">
      <w:pPr>
        <w:pStyle w:val="Index1"/>
        <w:tabs>
          <w:tab w:val="right" w:leader="dot" w:pos="4310"/>
        </w:tabs>
        <w:rPr>
          <w:noProof/>
        </w:rPr>
      </w:pPr>
      <w:r w:rsidRPr="007C5E76">
        <w:rPr>
          <w:bCs/>
          <w:noProof/>
        </w:rPr>
        <w:t>payroll</w:t>
      </w:r>
      <w:r>
        <w:rPr>
          <w:noProof/>
        </w:rPr>
        <w:tab/>
      </w:r>
      <w:r w:rsidRPr="007C5E76">
        <w:rPr>
          <w:bCs/>
          <w:i/>
          <w:noProof/>
        </w:rPr>
        <w:t>see SGGRRS</w:t>
      </w:r>
    </w:p>
    <w:p w14:paraId="64EFBCCE" w14:textId="77777777" w:rsidR="00AE68E7" w:rsidRDefault="00AE68E7">
      <w:pPr>
        <w:pStyle w:val="Index1"/>
        <w:tabs>
          <w:tab w:val="right" w:leader="dot" w:pos="4310"/>
        </w:tabs>
        <w:rPr>
          <w:noProof/>
        </w:rPr>
      </w:pPr>
      <w:r w:rsidRPr="007C5E76">
        <w:rPr>
          <w:bCs/>
          <w:noProof/>
        </w:rPr>
        <w:t>policies/procedures</w:t>
      </w:r>
      <w:r>
        <w:rPr>
          <w:noProof/>
        </w:rPr>
        <w:tab/>
      </w:r>
      <w:r w:rsidRPr="007C5E76">
        <w:rPr>
          <w:bCs/>
          <w:i/>
          <w:noProof/>
        </w:rPr>
        <w:t>see SGGRRS</w:t>
      </w:r>
    </w:p>
    <w:p w14:paraId="5C2B0AE5" w14:textId="77777777" w:rsidR="00AE68E7" w:rsidRDefault="00AE68E7">
      <w:pPr>
        <w:pStyle w:val="Index1"/>
        <w:tabs>
          <w:tab w:val="right" w:leader="dot" w:pos="4310"/>
        </w:tabs>
        <w:rPr>
          <w:noProof/>
        </w:rPr>
      </w:pPr>
      <w:r w:rsidRPr="007C5E76">
        <w:rPr>
          <w:bCs/>
          <w:noProof/>
        </w:rPr>
        <w:t>public disclosure</w:t>
      </w:r>
      <w:r>
        <w:rPr>
          <w:noProof/>
        </w:rPr>
        <w:tab/>
      </w:r>
      <w:r w:rsidRPr="007C5E76">
        <w:rPr>
          <w:bCs/>
          <w:i/>
          <w:noProof/>
        </w:rPr>
        <w:t>see SGGRRS</w:t>
      </w:r>
    </w:p>
    <w:p w14:paraId="7A4DC7C8" w14:textId="77777777" w:rsidR="00AE68E7" w:rsidRDefault="00AE68E7">
      <w:pPr>
        <w:pStyle w:val="Index1"/>
        <w:tabs>
          <w:tab w:val="right" w:leader="dot" w:pos="4310"/>
        </w:tabs>
        <w:rPr>
          <w:noProof/>
        </w:rPr>
      </w:pPr>
      <w:r w:rsidRPr="007C5E76">
        <w:rPr>
          <w:bCs/>
          <w:noProof/>
        </w:rPr>
        <w:t>public records requests</w:t>
      </w:r>
      <w:r>
        <w:rPr>
          <w:noProof/>
        </w:rPr>
        <w:tab/>
      </w:r>
      <w:r w:rsidRPr="007C5E76">
        <w:rPr>
          <w:bCs/>
          <w:i/>
          <w:noProof/>
        </w:rPr>
        <w:t>see SGGRRS</w:t>
      </w:r>
    </w:p>
    <w:p w14:paraId="14F646A2" w14:textId="77777777" w:rsidR="00AE68E7" w:rsidRDefault="00AE68E7">
      <w:pPr>
        <w:pStyle w:val="Index1"/>
        <w:tabs>
          <w:tab w:val="right" w:leader="dot" w:pos="4310"/>
        </w:tabs>
        <w:rPr>
          <w:noProof/>
        </w:rPr>
      </w:pPr>
      <w:r w:rsidRPr="007C5E76">
        <w:rPr>
          <w:bCs/>
          <w:noProof/>
        </w:rPr>
        <w:t>publications</w:t>
      </w:r>
      <w:r>
        <w:rPr>
          <w:noProof/>
        </w:rPr>
        <w:tab/>
      </w:r>
      <w:r w:rsidRPr="007C5E76">
        <w:rPr>
          <w:bCs/>
          <w:i/>
          <w:noProof/>
        </w:rPr>
        <w:t>see SGGRRS</w:t>
      </w:r>
    </w:p>
    <w:p w14:paraId="47007BCF"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R</w:t>
      </w:r>
    </w:p>
    <w:p w14:paraId="789A8E8F" w14:textId="77777777" w:rsidR="00AE68E7" w:rsidRDefault="00AE68E7">
      <w:pPr>
        <w:pStyle w:val="Index1"/>
        <w:tabs>
          <w:tab w:val="right" w:leader="dot" w:pos="4310"/>
        </w:tabs>
        <w:rPr>
          <w:noProof/>
        </w:rPr>
      </w:pPr>
      <w:r w:rsidRPr="007C5E76">
        <w:rPr>
          <w:bCs/>
          <w:noProof/>
        </w:rPr>
        <w:t>records management</w:t>
      </w:r>
      <w:r>
        <w:rPr>
          <w:noProof/>
        </w:rPr>
        <w:tab/>
      </w:r>
      <w:r w:rsidRPr="007C5E76">
        <w:rPr>
          <w:bCs/>
          <w:i/>
          <w:noProof/>
        </w:rPr>
        <w:t>see SGGRRS</w:t>
      </w:r>
    </w:p>
    <w:p w14:paraId="5C5C0666" w14:textId="77777777" w:rsidR="00AE68E7" w:rsidRDefault="00AE68E7">
      <w:pPr>
        <w:pStyle w:val="Index1"/>
        <w:tabs>
          <w:tab w:val="right" w:leader="dot" w:pos="4310"/>
        </w:tabs>
        <w:rPr>
          <w:noProof/>
        </w:rPr>
      </w:pPr>
      <w:r w:rsidRPr="007C5E76">
        <w:rPr>
          <w:bCs/>
          <w:noProof/>
        </w:rPr>
        <w:t>risk management</w:t>
      </w:r>
      <w:r>
        <w:rPr>
          <w:noProof/>
        </w:rPr>
        <w:tab/>
      </w:r>
      <w:r w:rsidRPr="007C5E76">
        <w:rPr>
          <w:bCs/>
          <w:i/>
          <w:noProof/>
        </w:rPr>
        <w:t>see SGGRRS</w:t>
      </w:r>
    </w:p>
    <w:p w14:paraId="516E5A09"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S</w:t>
      </w:r>
    </w:p>
    <w:p w14:paraId="1180E317" w14:textId="77777777" w:rsidR="00AE68E7" w:rsidRDefault="00AE68E7">
      <w:pPr>
        <w:pStyle w:val="Index1"/>
        <w:tabs>
          <w:tab w:val="right" w:leader="dot" w:pos="4310"/>
        </w:tabs>
        <w:rPr>
          <w:noProof/>
        </w:rPr>
      </w:pPr>
      <w:r w:rsidRPr="007C5E76">
        <w:rPr>
          <w:bCs/>
          <w:noProof/>
        </w:rPr>
        <w:t>security</w:t>
      </w:r>
      <w:r>
        <w:rPr>
          <w:noProof/>
        </w:rPr>
        <w:tab/>
      </w:r>
      <w:r w:rsidRPr="007C5E76">
        <w:rPr>
          <w:bCs/>
          <w:i/>
          <w:noProof/>
        </w:rPr>
        <w:t>see SGGRRS</w:t>
      </w:r>
    </w:p>
    <w:p w14:paraId="18949857"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17A4F0D0" w14:textId="77777777" w:rsidR="00AE68E7" w:rsidRDefault="00AE68E7">
      <w:pPr>
        <w:pStyle w:val="Index1"/>
        <w:tabs>
          <w:tab w:val="right" w:leader="dot" w:pos="4310"/>
        </w:tabs>
        <w:rPr>
          <w:noProof/>
        </w:rPr>
      </w:pPr>
      <w:r w:rsidRPr="007C5E76">
        <w:rPr>
          <w:bCs/>
          <w:noProof/>
        </w:rPr>
        <w:t>telecommunications</w:t>
      </w:r>
      <w:r>
        <w:rPr>
          <w:noProof/>
        </w:rPr>
        <w:tab/>
      </w:r>
      <w:r w:rsidRPr="007C5E76">
        <w:rPr>
          <w:bCs/>
          <w:i/>
          <w:noProof/>
        </w:rPr>
        <w:t>see SGGRRS</w:t>
      </w:r>
      <w:r w:rsidRPr="007C5E76">
        <w:rPr>
          <w:bCs/>
          <w:noProof/>
        </w:rPr>
        <w:t xml:space="preserve"> </w:t>
      </w:r>
    </w:p>
    <w:p w14:paraId="2DB71FAC" w14:textId="77777777" w:rsidR="00AE68E7" w:rsidRDefault="00AE68E7">
      <w:pPr>
        <w:pStyle w:val="Index1"/>
        <w:tabs>
          <w:tab w:val="right" w:leader="dot" w:pos="4310"/>
        </w:tabs>
        <w:rPr>
          <w:noProof/>
        </w:rPr>
      </w:pPr>
      <w:r w:rsidRPr="007C5E76">
        <w:rPr>
          <w:bCs/>
          <w:noProof/>
        </w:rPr>
        <w:t>timesheets</w:t>
      </w:r>
      <w:r>
        <w:rPr>
          <w:noProof/>
        </w:rPr>
        <w:tab/>
      </w:r>
      <w:r w:rsidRPr="007C5E76">
        <w:rPr>
          <w:bCs/>
          <w:i/>
          <w:noProof/>
        </w:rPr>
        <w:t>see SGGRRS</w:t>
      </w:r>
    </w:p>
    <w:p w14:paraId="6546E798" w14:textId="77777777" w:rsidR="00AE68E7" w:rsidRDefault="00AE68E7">
      <w:pPr>
        <w:pStyle w:val="Index1"/>
        <w:tabs>
          <w:tab w:val="right" w:leader="dot" w:pos="4310"/>
        </w:tabs>
        <w:rPr>
          <w:noProof/>
        </w:rPr>
      </w:pPr>
      <w:r w:rsidRPr="007C5E76">
        <w:rPr>
          <w:bCs/>
          <w:noProof/>
        </w:rPr>
        <w:t>training</w:t>
      </w:r>
      <w:r>
        <w:rPr>
          <w:noProof/>
        </w:rPr>
        <w:tab/>
      </w:r>
      <w:r w:rsidRPr="007C5E76">
        <w:rPr>
          <w:bCs/>
          <w:i/>
          <w:noProof/>
        </w:rPr>
        <w:t>see SGGRRS</w:t>
      </w:r>
    </w:p>
    <w:p w14:paraId="6C2F9173" w14:textId="77777777" w:rsidR="00AE68E7" w:rsidRDefault="00AE68E7">
      <w:pPr>
        <w:pStyle w:val="Index1"/>
        <w:tabs>
          <w:tab w:val="right" w:leader="dot" w:pos="4310"/>
        </w:tabs>
        <w:rPr>
          <w:noProof/>
        </w:rPr>
      </w:pPr>
      <w:r w:rsidRPr="007C5E76">
        <w:rPr>
          <w:bCs/>
          <w:noProof/>
        </w:rPr>
        <w:t>transitory records</w:t>
      </w:r>
      <w:r>
        <w:rPr>
          <w:noProof/>
        </w:rPr>
        <w:tab/>
      </w:r>
      <w:r w:rsidRPr="007C5E76">
        <w:rPr>
          <w:bCs/>
          <w:i/>
          <w:noProof/>
        </w:rPr>
        <w:t>see SGGRRS</w:t>
      </w:r>
    </w:p>
    <w:p w14:paraId="77EBE3CE" w14:textId="77777777" w:rsidR="00AE68E7" w:rsidRDefault="00AE68E7">
      <w:pPr>
        <w:pStyle w:val="Index1"/>
        <w:tabs>
          <w:tab w:val="right" w:leader="dot" w:pos="4310"/>
        </w:tabs>
        <w:rPr>
          <w:noProof/>
        </w:rPr>
      </w:pPr>
      <w:r w:rsidRPr="007C5E76">
        <w:rPr>
          <w:bCs/>
          <w:noProof/>
        </w:rPr>
        <w:t>travel</w:t>
      </w:r>
      <w:r>
        <w:rPr>
          <w:noProof/>
        </w:rPr>
        <w:tab/>
      </w:r>
      <w:r w:rsidRPr="007C5E76">
        <w:rPr>
          <w:bCs/>
          <w:i/>
          <w:noProof/>
        </w:rPr>
        <w:t>see SGGRRS</w:t>
      </w:r>
    </w:p>
    <w:p w14:paraId="2F8F5FEE"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V</w:t>
      </w:r>
    </w:p>
    <w:p w14:paraId="2A5FFE4F" w14:textId="77777777" w:rsidR="00AE68E7" w:rsidRDefault="00AE68E7">
      <w:pPr>
        <w:pStyle w:val="Index1"/>
        <w:tabs>
          <w:tab w:val="right" w:leader="dot" w:pos="4310"/>
        </w:tabs>
        <w:rPr>
          <w:noProof/>
        </w:rPr>
      </w:pPr>
      <w:r w:rsidRPr="007C5E76">
        <w:rPr>
          <w:bCs/>
          <w:noProof/>
        </w:rPr>
        <w:t>vehicles</w:t>
      </w:r>
      <w:r>
        <w:rPr>
          <w:noProof/>
        </w:rPr>
        <w:tab/>
      </w:r>
      <w:r w:rsidRPr="007C5E76">
        <w:rPr>
          <w:bCs/>
          <w:i/>
          <w:noProof/>
        </w:rPr>
        <w:t>see SGGRRS</w:t>
      </w:r>
      <w:r w:rsidRPr="007C5E76">
        <w:rPr>
          <w:bCs/>
          <w:noProof/>
        </w:rPr>
        <w:t xml:space="preserve"> </w:t>
      </w:r>
    </w:p>
    <w:p w14:paraId="3FABF62A" w14:textId="77777777" w:rsidR="00AE68E7" w:rsidRDefault="00AE68E7">
      <w:pPr>
        <w:pStyle w:val="Index1"/>
        <w:tabs>
          <w:tab w:val="right" w:leader="dot" w:pos="4310"/>
        </w:tabs>
        <w:rPr>
          <w:noProof/>
        </w:rPr>
      </w:pPr>
      <w:r w:rsidRPr="007C5E76">
        <w:rPr>
          <w:bCs/>
          <w:noProof/>
        </w:rPr>
        <w:t>vocational rehabilitation services</w:t>
      </w:r>
      <w:r>
        <w:rPr>
          <w:noProof/>
        </w:rPr>
        <w:tab/>
        <w:t>5</w:t>
      </w:r>
    </w:p>
    <w:p w14:paraId="182887AE" w14:textId="77777777" w:rsidR="00AE68E7" w:rsidRDefault="00AE68E7" w:rsidP="00F879B2">
      <w:pPr>
        <w:pStyle w:val="Normal16"/>
        <w:jc w:val="left"/>
        <w:rPr>
          <w:b w:val="0"/>
          <w:caps w:val="0"/>
          <w:noProof/>
          <w:sz w:val="22"/>
        </w:rPr>
        <w:sectPr w:rsidR="00AE68E7" w:rsidSect="00AE68E7">
          <w:type w:val="continuous"/>
          <w:pgSz w:w="15840" w:h="12240" w:orient="landscape" w:code="1"/>
          <w:pgMar w:top="1080" w:right="720" w:bottom="1080" w:left="720" w:header="1080" w:footer="720" w:gutter="0"/>
          <w:cols w:num="3" w:space="720"/>
          <w:docGrid w:linePitch="360"/>
        </w:sectPr>
      </w:pPr>
    </w:p>
    <w:p w14:paraId="661714CE" w14:textId="77777777" w:rsidR="00734C37" w:rsidRDefault="002374C7" w:rsidP="00F879B2">
      <w:pPr>
        <w:pStyle w:val="Normal16"/>
        <w:jc w:val="left"/>
        <w:rPr>
          <w:i/>
        </w:rPr>
      </w:pPr>
      <w:r w:rsidRPr="00C04DC1">
        <w:fldChar w:fldCharType="end"/>
      </w:r>
    </w:p>
    <w:sectPr w:rsidR="00734C37" w:rsidSect="00AE68E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1350" w14:textId="77777777" w:rsidR="0012412E" w:rsidRDefault="0012412E" w:rsidP="000D39EA">
      <w:r>
        <w:separator/>
      </w:r>
    </w:p>
    <w:p w14:paraId="5800A52D" w14:textId="77777777" w:rsidR="0012412E" w:rsidRDefault="0012412E"/>
  </w:endnote>
  <w:endnote w:type="continuationSeparator" w:id="0">
    <w:p w14:paraId="0631B254" w14:textId="77777777" w:rsidR="0012412E" w:rsidRDefault="0012412E" w:rsidP="000D39EA">
      <w:r>
        <w:continuationSeparator/>
      </w:r>
    </w:p>
    <w:p w14:paraId="3B930633" w14:textId="77777777" w:rsidR="0012412E" w:rsidRDefault="0012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53858" w:rsidRPr="00D11821" w14:paraId="03822BA2" w14:textId="77777777" w:rsidTr="003658B7">
      <w:trPr>
        <w:trHeight w:val="540"/>
        <w:jc w:val="center"/>
      </w:trPr>
      <w:tc>
        <w:tcPr>
          <w:tcW w:w="2054" w:type="dxa"/>
          <w:shd w:val="clear" w:color="auto" w:fill="FFFFFF"/>
          <w:vAlign w:val="center"/>
        </w:tcPr>
        <w:p w14:paraId="241558E7" w14:textId="77777777" w:rsidR="00753858" w:rsidRPr="0066629E" w:rsidRDefault="00753858" w:rsidP="008E3DA6">
          <w:pPr>
            <w:jc w:val="center"/>
            <w:rPr>
              <w:b/>
              <w:sz w:val="18"/>
              <w:szCs w:val="18"/>
            </w:rPr>
          </w:pPr>
        </w:p>
      </w:tc>
      <w:tc>
        <w:tcPr>
          <w:tcW w:w="2054" w:type="dxa"/>
          <w:shd w:val="clear" w:color="auto" w:fill="auto"/>
          <w:vAlign w:val="center"/>
        </w:tcPr>
        <w:p w14:paraId="62004D97" w14:textId="77777777" w:rsidR="00753858" w:rsidRPr="00B36432" w:rsidRDefault="00753858" w:rsidP="00E95BFC">
          <w:pPr>
            <w:jc w:val="center"/>
            <w:rPr>
              <w:b/>
              <w:color w:val="auto"/>
              <w:sz w:val="15"/>
              <w:szCs w:val="15"/>
            </w:rPr>
          </w:pPr>
        </w:p>
      </w:tc>
      <w:tc>
        <w:tcPr>
          <w:tcW w:w="2054" w:type="dxa"/>
          <w:shd w:val="clear" w:color="auto" w:fill="auto"/>
          <w:vAlign w:val="center"/>
        </w:tcPr>
        <w:p w14:paraId="40AD721F" w14:textId="77777777" w:rsidR="00753858" w:rsidRPr="00B36432" w:rsidRDefault="00753858" w:rsidP="00E95BFC">
          <w:pPr>
            <w:rPr>
              <w:b/>
              <w:sz w:val="15"/>
              <w:szCs w:val="15"/>
            </w:rPr>
          </w:pPr>
        </w:p>
      </w:tc>
      <w:tc>
        <w:tcPr>
          <w:tcW w:w="2054" w:type="dxa"/>
          <w:shd w:val="clear" w:color="auto" w:fill="auto"/>
          <w:vAlign w:val="center"/>
        </w:tcPr>
        <w:p w14:paraId="58FFE80D" w14:textId="77777777" w:rsidR="00753858" w:rsidRPr="00B36432" w:rsidRDefault="00753858" w:rsidP="00E95BFC">
          <w:pPr>
            <w:rPr>
              <w:b/>
              <w:sz w:val="15"/>
              <w:szCs w:val="15"/>
            </w:rPr>
          </w:pPr>
        </w:p>
      </w:tc>
      <w:tc>
        <w:tcPr>
          <w:tcW w:w="2054" w:type="dxa"/>
          <w:shd w:val="clear" w:color="auto" w:fill="auto"/>
          <w:vAlign w:val="center"/>
        </w:tcPr>
        <w:p w14:paraId="6C761DED" w14:textId="77777777" w:rsidR="00753858" w:rsidRPr="00B36432" w:rsidRDefault="00753858" w:rsidP="00E95BFC">
          <w:pPr>
            <w:rPr>
              <w:b/>
              <w:sz w:val="15"/>
              <w:szCs w:val="15"/>
            </w:rPr>
          </w:pPr>
        </w:p>
      </w:tc>
      <w:tc>
        <w:tcPr>
          <w:tcW w:w="2054" w:type="dxa"/>
          <w:shd w:val="clear" w:color="auto" w:fill="auto"/>
          <w:vAlign w:val="center"/>
        </w:tcPr>
        <w:p w14:paraId="0A66F9D2" w14:textId="77777777" w:rsidR="00753858" w:rsidRPr="00B36432" w:rsidRDefault="00753858" w:rsidP="00E95BFC">
          <w:pPr>
            <w:rPr>
              <w:b/>
              <w:sz w:val="15"/>
              <w:szCs w:val="15"/>
            </w:rPr>
          </w:pPr>
        </w:p>
      </w:tc>
      <w:tc>
        <w:tcPr>
          <w:tcW w:w="2054" w:type="dxa"/>
          <w:shd w:val="clear" w:color="auto" w:fill="auto"/>
          <w:vAlign w:val="center"/>
        </w:tcPr>
        <w:p w14:paraId="2B8AB659" w14:textId="77777777" w:rsidR="00753858" w:rsidRPr="0066629E" w:rsidRDefault="0075385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33D09B47" w14:textId="77777777" w:rsidR="00753858" w:rsidRPr="00EC464B" w:rsidRDefault="00753858"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53858" w:rsidRPr="00D11821" w14:paraId="4A92AE6C" w14:textId="77777777" w:rsidTr="003658B7">
      <w:trPr>
        <w:trHeight w:val="540"/>
        <w:jc w:val="center"/>
      </w:trPr>
      <w:tc>
        <w:tcPr>
          <w:tcW w:w="2054" w:type="dxa"/>
          <w:tcBorders>
            <w:top w:val="single" w:sz="4" w:space="0" w:color="auto"/>
          </w:tcBorders>
          <w:shd w:val="clear" w:color="auto" w:fill="000000" w:themeFill="text1"/>
          <w:vAlign w:val="center"/>
        </w:tcPr>
        <w:p w14:paraId="42A2B4FC" w14:textId="77777777" w:rsidR="00753858" w:rsidRPr="00FC4508" w:rsidRDefault="00753858" w:rsidP="00945436">
          <w:pPr>
            <w:jc w:val="center"/>
            <w:rPr>
              <w:b/>
              <w:color w:val="FFFFFF" w:themeColor="background1"/>
              <w:sz w:val="18"/>
              <w:szCs w:val="18"/>
            </w:rPr>
          </w:pPr>
          <w:r w:rsidRPr="00FC4508">
            <w:rPr>
              <w:b/>
              <w:color w:val="FFFFFF" w:themeColor="background1"/>
              <w:sz w:val="18"/>
              <w:szCs w:val="18"/>
            </w:rPr>
            <w:t xml:space="preserve">1. </w:t>
          </w:r>
          <w:r w:rsidR="00945436">
            <w:rPr>
              <w:b/>
              <w:color w:val="FFFFFF" w:themeColor="background1"/>
              <w:sz w:val="18"/>
              <w:szCs w:val="18"/>
            </w:rPr>
            <w:t>BUSINESS ENTERPRISE PROGRAM MANAGEMENT</w:t>
          </w:r>
        </w:p>
      </w:tc>
      <w:tc>
        <w:tcPr>
          <w:tcW w:w="2054" w:type="dxa"/>
          <w:tcBorders>
            <w:top w:val="single" w:sz="4" w:space="0" w:color="auto"/>
          </w:tcBorders>
          <w:shd w:val="clear" w:color="auto" w:fill="auto"/>
          <w:vAlign w:val="center"/>
        </w:tcPr>
        <w:p w14:paraId="7705FF82" w14:textId="77777777" w:rsidR="00753858" w:rsidRPr="00CB2273" w:rsidRDefault="00753858" w:rsidP="00E95BFC">
          <w:pPr>
            <w:jc w:val="center"/>
            <w:rPr>
              <w:b/>
              <w:color w:val="auto"/>
              <w:sz w:val="18"/>
              <w:szCs w:val="18"/>
            </w:rPr>
          </w:pPr>
        </w:p>
      </w:tc>
      <w:tc>
        <w:tcPr>
          <w:tcW w:w="2054" w:type="dxa"/>
          <w:tcBorders>
            <w:top w:val="single" w:sz="4" w:space="0" w:color="auto"/>
          </w:tcBorders>
          <w:shd w:val="clear" w:color="auto" w:fill="auto"/>
          <w:vAlign w:val="center"/>
        </w:tcPr>
        <w:p w14:paraId="3C2827DF" w14:textId="77777777" w:rsidR="00753858" w:rsidRPr="004556EB" w:rsidRDefault="00753858" w:rsidP="00E72598">
          <w:pPr>
            <w:jc w:val="center"/>
            <w:rPr>
              <w:b/>
              <w:color w:val="FFFFFF" w:themeColor="background1"/>
              <w:sz w:val="20"/>
              <w:szCs w:val="20"/>
            </w:rPr>
          </w:pPr>
        </w:p>
      </w:tc>
      <w:tc>
        <w:tcPr>
          <w:tcW w:w="2054" w:type="dxa"/>
          <w:shd w:val="clear" w:color="auto" w:fill="auto"/>
          <w:vAlign w:val="center"/>
        </w:tcPr>
        <w:p w14:paraId="6B8E6369" w14:textId="77777777" w:rsidR="00753858" w:rsidRPr="00B36432" w:rsidRDefault="00753858" w:rsidP="00E95BFC">
          <w:pPr>
            <w:rPr>
              <w:b/>
              <w:sz w:val="15"/>
              <w:szCs w:val="15"/>
            </w:rPr>
          </w:pPr>
        </w:p>
      </w:tc>
      <w:tc>
        <w:tcPr>
          <w:tcW w:w="2054" w:type="dxa"/>
          <w:shd w:val="clear" w:color="auto" w:fill="auto"/>
          <w:vAlign w:val="center"/>
        </w:tcPr>
        <w:p w14:paraId="5088A556" w14:textId="77777777" w:rsidR="00753858" w:rsidRPr="00B36432" w:rsidRDefault="00753858" w:rsidP="00E95BFC">
          <w:pPr>
            <w:rPr>
              <w:b/>
              <w:sz w:val="15"/>
              <w:szCs w:val="15"/>
            </w:rPr>
          </w:pPr>
        </w:p>
      </w:tc>
      <w:tc>
        <w:tcPr>
          <w:tcW w:w="2054" w:type="dxa"/>
          <w:shd w:val="clear" w:color="auto" w:fill="auto"/>
          <w:vAlign w:val="center"/>
        </w:tcPr>
        <w:p w14:paraId="253BA731" w14:textId="77777777" w:rsidR="00753858" w:rsidRPr="00B36432" w:rsidRDefault="00753858" w:rsidP="00E95BFC">
          <w:pPr>
            <w:rPr>
              <w:b/>
              <w:sz w:val="15"/>
              <w:szCs w:val="15"/>
            </w:rPr>
          </w:pPr>
        </w:p>
      </w:tc>
      <w:tc>
        <w:tcPr>
          <w:tcW w:w="2054" w:type="dxa"/>
          <w:shd w:val="clear" w:color="auto" w:fill="auto"/>
          <w:vAlign w:val="center"/>
        </w:tcPr>
        <w:p w14:paraId="7C89B932" w14:textId="77777777" w:rsidR="00753858" w:rsidRPr="0066629E" w:rsidRDefault="0075385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783A376D" w14:textId="77777777" w:rsidR="00753858" w:rsidRPr="00EC464B" w:rsidRDefault="00753858"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45436" w:rsidRPr="00D11821" w14:paraId="6894B09D" w14:textId="77777777" w:rsidTr="007370AF">
      <w:trPr>
        <w:trHeight w:val="540"/>
        <w:jc w:val="center"/>
      </w:trPr>
      <w:tc>
        <w:tcPr>
          <w:tcW w:w="2054" w:type="dxa"/>
          <w:tcBorders>
            <w:top w:val="single" w:sz="4" w:space="0" w:color="auto"/>
          </w:tcBorders>
          <w:shd w:val="clear" w:color="auto" w:fill="auto"/>
          <w:vAlign w:val="center"/>
        </w:tcPr>
        <w:p w14:paraId="3A3FE8F2" w14:textId="77777777" w:rsidR="00945436" w:rsidRPr="00FC4508" w:rsidRDefault="00945436"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0D85A5D" w14:textId="77777777" w:rsidR="00945436" w:rsidRPr="007370AF" w:rsidRDefault="007370AF" w:rsidP="00E95BFC">
          <w:pPr>
            <w:jc w:val="center"/>
            <w:rPr>
              <w:b/>
              <w:color w:val="FFFFFF" w:themeColor="background1"/>
              <w:sz w:val="18"/>
              <w:szCs w:val="18"/>
            </w:rPr>
          </w:pPr>
          <w:r w:rsidRPr="007370AF">
            <w:rPr>
              <w:b/>
              <w:color w:val="FFFFFF" w:themeColor="background1"/>
              <w:sz w:val="18"/>
              <w:szCs w:val="18"/>
            </w:rPr>
            <w:t>2. CASE MANAGEMENT</w:t>
          </w:r>
        </w:p>
      </w:tc>
      <w:tc>
        <w:tcPr>
          <w:tcW w:w="2054" w:type="dxa"/>
          <w:tcBorders>
            <w:top w:val="single" w:sz="4" w:space="0" w:color="auto"/>
          </w:tcBorders>
          <w:shd w:val="clear" w:color="auto" w:fill="auto"/>
          <w:vAlign w:val="center"/>
        </w:tcPr>
        <w:p w14:paraId="470F8271" w14:textId="77777777" w:rsidR="00945436" w:rsidRPr="004556EB" w:rsidRDefault="00945436" w:rsidP="00E72598">
          <w:pPr>
            <w:jc w:val="center"/>
            <w:rPr>
              <w:b/>
              <w:color w:val="FFFFFF" w:themeColor="background1"/>
              <w:sz w:val="20"/>
              <w:szCs w:val="20"/>
            </w:rPr>
          </w:pPr>
        </w:p>
      </w:tc>
      <w:tc>
        <w:tcPr>
          <w:tcW w:w="2054" w:type="dxa"/>
          <w:shd w:val="clear" w:color="auto" w:fill="auto"/>
          <w:vAlign w:val="center"/>
        </w:tcPr>
        <w:p w14:paraId="390C0F07" w14:textId="77777777" w:rsidR="00945436" w:rsidRPr="00B36432" w:rsidRDefault="00945436" w:rsidP="00E95BFC">
          <w:pPr>
            <w:rPr>
              <w:b/>
              <w:sz w:val="15"/>
              <w:szCs w:val="15"/>
            </w:rPr>
          </w:pPr>
        </w:p>
      </w:tc>
      <w:tc>
        <w:tcPr>
          <w:tcW w:w="2054" w:type="dxa"/>
          <w:shd w:val="clear" w:color="auto" w:fill="auto"/>
          <w:vAlign w:val="center"/>
        </w:tcPr>
        <w:p w14:paraId="1EA9618D" w14:textId="77777777" w:rsidR="00945436" w:rsidRPr="00B36432" w:rsidRDefault="00945436" w:rsidP="00E95BFC">
          <w:pPr>
            <w:rPr>
              <w:b/>
              <w:sz w:val="15"/>
              <w:szCs w:val="15"/>
            </w:rPr>
          </w:pPr>
        </w:p>
      </w:tc>
      <w:tc>
        <w:tcPr>
          <w:tcW w:w="2054" w:type="dxa"/>
          <w:shd w:val="clear" w:color="auto" w:fill="auto"/>
          <w:vAlign w:val="center"/>
        </w:tcPr>
        <w:p w14:paraId="6310282D" w14:textId="77777777" w:rsidR="00945436" w:rsidRPr="00B36432" w:rsidRDefault="00945436" w:rsidP="00E95BFC">
          <w:pPr>
            <w:rPr>
              <w:b/>
              <w:sz w:val="15"/>
              <w:szCs w:val="15"/>
            </w:rPr>
          </w:pPr>
        </w:p>
      </w:tc>
      <w:tc>
        <w:tcPr>
          <w:tcW w:w="2054" w:type="dxa"/>
          <w:shd w:val="clear" w:color="auto" w:fill="auto"/>
          <w:vAlign w:val="center"/>
        </w:tcPr>
        <w:p w14:paraId="7DE22AE6" w14:textId="77777777" w:rsidR="00945436" w:rsidRPr="0066629E" w:rsidRDefault="00945436"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2B486901" w14:textId="77777777" w:rsidR="00945436" w:rsidRPr="00EC464B" w:rsidRDefault="00945436"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53858" w:rsidRPr="00B36432" w14:paraId="54C07477" w14:textId="77777777" w:rsidTr="007370AF">
      <w:trPr>
        <w:trHeight w:val="540"/>
        <w:jc w:val="center"/>
      </w:trPr>
      <w:tc>
        <w:tcPr>
          <w:tcW w:w="2058" w:type="dxa"/>
          <w:tcBorders>
            <w:top w:val="single" w:sz="6" w:space="0" w:color="auto"/>
          </w:tcBorders>
          <w:shd w:val="clear" w:color="auto" w:fill="auto"/>
          <w:vAlign w:val="center"/>
        </w:tcPr>
        <w:p w14:paraId="21029D8B" w14:textId="77777777" w:rsidR="00753858" w:rsidRPr="00F04148" w:rsidRDefault="00753858" w:rsidP="00F04148">
          <w:pPr>
            <w:jc w:val="center"/>
            <w:rPr>
              <w:b/>
              <w:color w:val="FFFFFF"/>
              <w:sz w:val="18"/>
              <w:szCs w:val="18"/>
            </w:rPr>
          </w:pPr>
        </w:p>
      </w:tc>
      <w:tc>
        <w:tcPr>
          <w:tcW w:w="2059" w:type="dxa"/>
          <w:tcBorders>
            <w:top w:val="single" w:sz="6" w:space="0" w:color="auto"/>
          </w:tcBorders>
          <w:shd w:val="clear" w:color="auto" w:fill="auto"/>
          <w:vAlign w:val="center"/>
        </w:tcPr>
        <w:p w14:paraId="7C62B143" w14:textId="77777777" w:rsidR="00753858" w:rsidRPr="0082620D" w:rsidRDefault="00753858" w:rsidP="0082620D">
          <w:pPr>
            <w:jc w:val="center"/>
            <w:rPr>
              <w:b/>
              <w:color w:val="FFFFFF"/>
              <w:sz w:val="18"/>
              <w:szCs w:val="18"/>
            </w:rPr>
          </w:pPr>
        </w:p>
      </w:tc>
      <w:tc>
        <w:tcPr>
          <w:tcW w:w="2058" w:type="dxa"/>
          <w:shd w:val="clear" w:color="auto" w:fill="000000" w:themeFill="text1"/>
          <w:vAlign w:val="center"/>
        </w:tcPr>
        <w:p w14:paraId="71375A63" w14:textId="77777777" w:rsidR="00753858" w:rsidRPr="007370AF" w:rsidRDefault="007370AF" w:rsidP="007370AF">
          <w:pPr>
            <w:jc w:val="center"/>
            <w:rPr>
              <w:b/>
              <w:color w:val="FFFFFF"/>
              <w:sz w:val="18"/>
              <w:szCs w:val="18"/>
            </w:rPr>
          </w:pPr>
          <w:r w:rsidRPr="007370AF">
            <w:rPr>
              <w:b/>
              <w:color w:val="FFFFFF"/>
              <w:sz w:val="18"/>
              <w:szCs w:val="18"/>
            </w:rPr>
            <w:t>GLOSSARY</w:t>
          </w:r>
        </w:p>
      </w:tc>
      <w:tc>
        <w:tcPr>
          <w:tcW w:w="2059" w:type="dxa"/>
          <w:tcBorders>
            <w:top w:val="single" w:sz="6" w:space="0" w:color="auto"/>
          </w:tcBorders>
          <w:shd w:val="clear" w:color="auto" w:fill="auto"/>
          <w:vAlign w:val="center"/>
        </w:tcPr>
        <w:p w14:paraId="73937C53" w14:textId="77777777" w:rsidR="00753858" w:rsidRPr="00EB5008" w:rsidRDefault="00753858" w:rsidP="00DB13A3">
          <w:pPr>
            <w:jc w:val="center"/>
            <w:rPr>
              <w:b/>
              <w:color w:val="FFFFFF"/>
              <w:sz w:val="18"/>
              <w:szCs w:val="18"/>
            </w:rPr>
          </w:pPr>
        </w:p>
      </w:tc>
      <w:tc>
        <w:tcPr>
          <w:tcW w:w="2058" w:type="dxa"/>
          <w:tcBorders>
            <w:top w:val="single" w:sz="6" w:space="0" w:color="000000"/>
          </w:tcBorders>
          <w:shd w:val="clear" w:color="auto" w:fill="FFFFFF"/>
          <w:vAlign w:val="center"/>
        </w:tcPr>
        <w:p w14:paraId="7C157FCC" w14:textId="77777777" w:rsidR="00753858" w:rsidRPr="00A302B9" w:rsidRDefault="00753858" w:rsidP="00EE7625">
          <w:pPr>
            <w:jc w:val="center"/>
            <w:rPr>
              <w:b/>
              <w:color w:val="FFFFFF"/>
              <w:sz w:val="18"/>
              <w:szCs w:val="18"/>
            </w:rPr>
          </w:pPr>
        </w:p>
      </w:tc>
      <w:tc>
        <w:tcPr>
          <w:tcW w:w="2059" w:type="dxa"/>
          <w:tcBorders>
            <w:top w:val="single" w:sz="6" w:space="0" w:color="000000"/>
          </w:tcBorders>
          <w:shd w:val="clear" w:color="auto" w:fill="FFFFFF"/>
          <w:vAlign w:val="center"/>
        </w:tcPr>
        <w:p w14:paraId="5FD4BADB" w14:textId="77777777" w:rsidR="00753858" w:rsidRPr="00B36432" w:rsidRDefault="00753858" w:rsidP="005B5F42">
          <w:pPr>
            <w:jc w:val="center"/>
            <w:rPr>
              <w:color w:val="auto"/>
              <w:szCs w:val="22"/>
            </w:rPr>
          </w:pPr>
        </w:p>
      </w:tc>
      <w:tc>
        <w:tcPr>
          <w:tcW w:w="2059" w:type="dxa"/>
          <w:shd w:val="clear" w:color="auto" w:fill="auto"/>
          <w:vAlign w:val="center"/>
        </w:tcPr>
        <w:p w14:paraId="7F11463C" w14:textId="77777777" w:rsidR="00753858" w:rsidRPr="0066629E" w:rsidRDefault="00753858"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7640DF0E" w14:textId="77777777" w:rsidR="00753858" w:rsidRPr="00EC464B" w:rsidRDefault="00753858"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53858" w:rsidRPr="00B36432" w14:paraId="47183FAB" w14:textId="77777777" w:rsidTr="006852E3">
      <w:trPr>
        <w:trHeight w:val="540"/>
        <w:jc w:val="center"/>
      </w:trPr>
      <w:tc>
        <w:tcPr>
          <w:tcW w:w="2058" w:type="dxa"/>
          <w:tcBorders>
            <w:top w:val="single" w:sz="6" w:space="0" w:color="000000"/>
          </w:tcBorders>
          <w:shd w:val="clear" w:color="auto" w:fill="auto"/>
          <w:vAlign w:val="center"/>
        </w:tcPr>
        <w:p w14:paraId="4AFEBEAA" w14:textId="77777777" w:rsidR="00753858" w:rsidRPr="00976836" w:rsidRDefault="00753858" w:rsidP="00976836">
          <w:pPr>
            <w:jc w:val="center"/>
            <w:rPr>
              <w:b/>
              <w:color w:val="FFFFFF"/>
              <w:sz w:val="18"/>
              <w:szCs w:val="18"/>
            </w:rPr>
          </w:pPr>
        </w:p>
      </w:tc>
      <w:tc>
        <w:tcPr>
          <w:tcW w:w="2059" w:type="dxa"/>
          <w:tcBorders>
            <w:top w:val="single" w:sz="6" w:space="0" w:color="auto"/>
          </w:tcBorders>
          <w:shd w:val="clear" w:color="auto" w:fill="auto"/>
          <w:vAlign w:val="center"/>
        </w:tcPr>
        <w:p w14:paraId="29E54B23" w14:textId="77777777" w:rsidR="00753858" w:rsidRPr="00B36432" w:rsidRDefault="00753858" w:rsidP="004556EB">
          <w:pPr>
            <w:jc w:val="center"/>
            <w:rPr>
              <w:szCs w:val="22"/>
            </w:rPr>
          </w:pPr>
        </w:p>
      </w:tc>
      <w:tc>
        <w:tcPr>
          <w:tcW w:w="2058" w:type="dxa"/>
          <w:tcBorders>
            <w:top w:val="single" w:sz="6" w:space="0" w:color="000000"/>
          </w:tcBorders>
          <w:shd w:val="clear" w:color="auto" w:fill="auto"/>
          <w:vAlign w:val="center"/>
        </w:tcPr>
        <w:p w14:paraId="5C804D36" w14:textId="77777777" w:rsidR="00753858" w:rsidRPr="00AE1D63" w:rsidRDefault="00753858"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411F061B" w14:textId="77777777" w:rsidR="00753858" w:rsidRDefault="006852E3" w:rsidP="00EE7625">
          <w:pPr>
            <w:jc w:val="center"/>
            <w:rPr>
              <w:b/>
              <w:color w:val="FFFFFF"/>
              <w:sz w:val="18"/>
              <w:szCs w:val="18"/>
            </w:rPr>
          </w:pPr>
          <w:r>
            <w:rPr>
              <w:b/>
              <w:color w:val="FFFFFF"/>
              <w:sz w:val="18"/>
              <w:szCs w:val="18"/>
            </w:rPr>
            <w:t>INDEX TO: ARCHIVAL /</w:t>
          </w:r>
        </w:p>
        <w:p w14:paraId="5E3A0C74" w14:textId="77777777" w:rsidR="006852E3" w:rsidRPr="00A61A95" w:rsidRDefault="006852E3"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73FCA564" w14:textId="77777777" w:rsidR="00753858" w:rsidRPr="007A224C" w:rsidRDefault="00753858" w:rsidP="00EE7625">
          <w:pPr>
            <w:jc w:val="center"/>
            <w:rPr>
              <w:b/>
              <w:color w:val="FFFFFF"/>
              <w:sz w:val="18"/>
              <w:szCs w:val="18"/>
              <w:shd w:val="clear" w:color="auto" w:fill="000000"/>
            </w:rPr>
          </w:pPr>
        </w:p>
      </w:tc>
      <w:tc>
        <w:tcPr>
          <w:tcW w:w="2059" w:type="dxa"/>
          <w:shd w:val="clear" w:color="auto" w:fill="auto"/>
          <w:vAlign w:val="center"/>
        </w:tcPr>
        <w:p w14:paraId="3E61D2B5" w14:textId="77777777" w:rsidR="00753858" w:rsidRPr="00B36432" w:rsidRDefault="00753858" w:rsidP="00EE7625">
          <w:pPr>
            <w:jc w:val="center"/>
            <w:rPr>
              <w:color w:val="auto"/>
              <w:szCs w:val="22"/>
            </w:rPr>
          </w:pPr>
        </w:p>
      </w:tc>
      <w:tc>
        <w:tcPr>
          <w:tcW w:w="2059" w:type="dxa"/>
          <w:shd w:val="clear" w:color="auto" w:fill="auto"/>
          <w:vAlign w:val="center"/>
        </w:tcPr>
        <w:p w14:paraId="49DD3A74" w14:textId="77777777" w:rsidR="00753858" w:rsidRPr="00A675DA" w:rsidRDefault="0075385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C67AA">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C67AA">
            <w:rPr>
              <w:rStyle w:val="PageNumber"/>
              <w:noProof/>
              <w:sz w:val="20"/>
              <w:szCs w:val="20"/>
            </w:rPr>
            <w:t>11</w:t>
          </w:r>
          <w:r w:rsidRPr="00A675DA">
            <w:rPr>
              <w:rStyle w:val="PageNumber"/>
              <w:sz w:val="20"/>
              <w:szCs w:val="20"/>
            </w:rPr>
            <w:fldChar w:fldCharType="end"/>
          </w:r>
        </w:p>
      </w:tc>
    </w:tr>
  </w:tbl>
  <w:p w14:paraId="084F608F" w14:textId="77777777" w:rsidR="00753858" w:rsidRPr="00EC464B" w:rsidRDefault="00753858"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53858" w:rsidRPr="00B36432" w14:paraId="00217DE8" w14:textId="77777777" w:rsidTr="006852E3">
      <w:trPr>
        <w:trHeight w:val="540"/>
        <w:jc w:val="center"/>
      </w:trPr>
      <w:tc>
        <w:tcPr>
          <w:tcW w:w="2058" w:type="dxa"/>
          <w:tcBorders>
            <w:top w:val="single" w:sz="6" w:space="0" w:color="000000"/>
          </w:tcBorders>
          <w:shd w:val="clear" w:color="auto" w:fill="FFFFFF"/>
          <w:vAlign w:val="center"/>
        </w:tcPr>
        <w:p w14:paraId="4A8402C6" w14:textId="77777777" w:rsidR="00753858" w:rsidRPr="00B36432" w:rsidRDefault="00753858" w:rsidP="000977DE">
          <w:pPr>
            <w:rPr>
              <w:szCs w:val="22"/>
            </w:rPr>
          </w:pPr>
        </w:p>
      </w:tc>
      <w:tc>
        <w:tcPr>
          <w:tcW w:w="2059" w:type="dxa"/>
          <w:tcBorders>
            <w:top w:val="single" w:sz="6" w:space="0" w:color="auto"/>
          </w:tcBorders>
          <w:shd w:val="clear" w:color="auto" w:fill="auto"/>
          <w:vAlign w:val="center"/>
        </w:tcPr>
        <w:p w14:paraId="456B4623" w14:textId="77777777" w:rsidR="00753858" w:rsidRPr="00976836" w:rsidRDefault="00753858" w:rsidP="00976836">
          <w:pPr>
            <w:jc w:val="center"/>
            <w:rPr>
              <w:b/>
              <w:color w:val="FFFFFF"/>
              <w:sz w:val="18"/>
              <w:szCs w:val="18"/>
            </w:rPr>
          </w:pPr>
        </w:p>
      </w:tc>
      <w:tc>
        <w:tcPr>
          <w:tcW w:w="2058" w:type="dxa"/>
          <w:tcBorders>
            <w:top w:val="single" w:sz="6" w:space="0" w:color="000000"/>
          </w:tcBorders>
          <w:shd w:val="clear" w:color="auto" w:fill="auto"/>
          <w:vAlign w:val="center"/>
        </w:tcPr>
        <w:p w14:paraId="3F6E8F3F" w14:textId="77777777" w:rsidR="00753858" w:rsidRPr="00AE1D63" w:rsidRDefault="00753858"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F7A3842" w14:textId="77777777" w:rsidR="00753858" w:rsidRPr="00B36432" w:rsidRDefault="00753858" w:rsidP="000977DE">
          <w:pPr>
            <w:jc w:val="center"/>
            <w:rPr>
              <w:szCs w:val="22"/>
            </w:rPr>
          </w:pPr>
        </w:p>
      </w:tc>
      <w:tc>
        <w:tcPr>
          <w:tcW w:w="2058" w:type="dxa"/>
          <w:tcBorders>
            <w:top w:val="single" w:sz="6" w:space="0" w:color="000000"/>
          </w:tcBorders>
          <w:shd w:val="clear" w:color="auto" w:fill="000000" w:themeFill="text1"/>
          <w:vAlign w:val="center"/>
        </w:tcPr>
        <w:p w14:paraId="5ECD03AE" w14:textId="77777777" w:rsidR="00753858" w:rsidRDefault="006852E3" w:rsidP="00A61A95">
          <w:pPr>
            <w:jc w:val="center"/>
            <w:rPr>
              <w:b/>
              <w:color w:val="FFFFFF"/>
              <w:sz w:val="18"/>
              <w:szCs w:val="18"/>
            </w:rPr>
          </w:pPr>
          <w:r>
            <w:rPr>
              <w:b/>
              <w:color w:val="FFFFFF"/>
              <w:sz w:val="18"/>
              <w:szCs w:val="18"/>
            </w:rPr>
            <w:t>INDEX TO:</w:t>
          </w:r>
        </w:p>
        <w:p w14:paraId="7A1323E4" w14:textId="77777777" w:rsidR="006852E3" w:rsidRPr="00A61A95" w:rsidRDefault="006852E3"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4B54E16E" w14:textId="77777777" w:rsidR="00753858" w:rsidRPr="00B36432" w:rsidRDefault="00753858" w:rsidP="000977DE">
          <w:pPr>
            <w:jc w:val="center"/>
            <w:rPr>
              <w:color w:val="auto"/>
              <w:szCs w:val="22"/>
            </w:rPr>
          </w:pPr>
        </w:p>
      </w:tc>
      <w:tc>
        <w:tcPr>
          <w:tcW w:w="2059" w:type="dxa"/>
          <w:shd w:val="clear" w:color="auto" w:fill="auto"/>
          <w:vAlign w:val="center"/>
        </w:tcPr>
        <w:p w14:paraId="12591FB1" w14:textId="77777777" w:rsidR="00753858" w:rsidRPr="00A675DA" w:rsidRDefault="0075385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C67AA">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C67AA">
            <w:rPr>
              <w:rStyle w:val="PageNumber"/>
              <w:noProof/>
              <w:sz w:val="20"/>
              <w:szCs w:val="20"/>
            </w:rPr>
            <w:t>11</w:t>
          </w:r>
          <w:r w:rsidRPr="00A675DA">
            <w:rPr>
              <w:rStyle w:val="PageNumber"/>
              <w:sz w:val="20"/>
              <w:szCs w:val="20"/>
            </w:rPr>
            <w:fldChar w:fldCharType="end"/>
          </w:r>
        </w:p>
      </w:tc>
    </w:tr>
  </w:tbl>
  <w:p w14:paraId="1FE7CE07" w14:textId="77777777" w:rsidR="00753858" w:rsidRPr="00EC464B" w:rsidRDefault="00753858"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275C" w14:textId="77777777" w:rsidR="0012412E" w:rsidRDefault="0012412E" w:rsidP="000D39EA">
      <w:r>
        <w:separator/>
      </w:r>
    </w:p>
    <w:p w14:paraId="7170C6FD" w14:textId="77777777" w:rsidR="0012412E" w:rsidRDefault="0012412E"/>
  </w:footnote>
  <w:footnote w:type="continuationSeparator" w:id="0">
    <w:p w14:paraId="19FCD72A" w14:textId="77777777" w:rsidR="0012412E" w:rsidRDefault="0012412E" w:rsidP="000D39EA">
      <w:r>
        <w:continuationSeparator/>
      </w:r>
    </w:p>
    <w:p w14:paraId="13D7171D" w14:textId="77777777" w:rsidR="0012412E" w:rsidRDefault="00124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53858" w:rsidRPr="00B36432" w14:paraId="6090FDA5" w14:textId="77777777" w:rsidTr="00836222">
      <w:trPr>
        <w:jc w:val="center"/>
      </w:trPr>
      <w:tc>
        <w:tcPr>
          <w:tcW w:w="3240" w:type="dxa"/>
          <w:vAlign w:val="bottom"/>
        </w:tcPr>
        <w:p w14:paraId="66DFAF82" w14:textId="77777777" w:rsidR="00753858" w:rsidRPr="00B36432" w:rsidRDefault="00753858"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016" behindDoc="1" locked="0" layoutInCell="1" allowOverlap="1" wp14:anchorId="3ED3C3DE" wp14:editId="5D0DF3D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2"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2E5D0CC8" w14:textId="3ACF883A" w:rsidR="00753858" w:rsidRPr="004A1959" w:rsidRDefault="00753858" w:rsidP="00836222">
          <w:pPr>
            <w:pStyle w:val="Header"/>
            <w:tabs>
              <w:tab w:val="clear" w:pos="4680"/>
              <w:tab w:val="clear" w:pos="9360"/>
              <w:tab w:val="right" w:pos="13230"/>
            </w:tabs>
            <w:jc w:val="right"/>
            <w:rPr>
              <w:b/>
              <w:sz w:val="24"/>
              <w:szCs w:val="24"/>
            </w:rPr>
          </w:pPr>
          <w:r w:rsidRPr="001D57ED">
            <w:rPr>
              <w:b/>
              <w:i/>
              <w:color w:val="auto"/>
              <w:sz w:val="24"/>
              <w:szCs w:val="24"/>
            </w:rPr>
            <w:t>Department of Services for the Blind</w:t>
          </w:r>
          <w:r w:rsidRPr="004A1959">
            <w:rPr>
              <w:b/>
              <w:i/>
              <w:sz w:val="24"/>
              <w:szCs w:val="24"/>
            </w:rPr>
            <w:t xml:space="preserve"> Records Retention Schedule</w:t>
          </w:r>
        </w:p>
        <w:p w14:paraId="42C0267A" w14:textId="304B07BF" w:rsidR="00753858" w:rsidRPr="003D7DEB" w:rsidRDefault="00753858" w:rsidP="0083622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D0685C">
            <w:rPr>
              <w:b/>
              <w:i/>
              <w:color w:val="auto"/>
              <w:szCs w:val="22"/>
            </w:rPr>
            <w:t>March</w:t>
          </w:r>
          <w:r w:rsidR="004A15BA">
            <w:rPr>
              <w:b/>
              <w:i/>
              <w:color w:val="auto"/>
              <w:szCs w:val="22"/>
            </w:rPr>
            <w:t xml:space="preserve"> 201</w:t>
          </w:r>
          <w:r w:rsidR="00D0685C">
            <w:rPr>
              <w:b/>
              <w:i/>
              <w:color w:val="auto"/>
              <w:szCs w:val="22"/>
            </w:rPr>
            <w:t>7</w:t>
          </w:r>
          <w:r w:rsidRPr="00825EFE">
            <w:rPr>
              <w:b/>
              <w:i/>
              <w:color w:val="auto"/>
              <w:szCs w:val="22"/>
            </w:rPr>
            <w:t>)</w:t>
          </w:r>
        </w:p>
      </w:tc>
    </w:tr>
  </w:tbl>
  <w:p w14:paraId="355F8F4A" w14:textId="77777777" w:rsidR="00753858" w:rsidRPr="00C82FD6" w:rsidRDefault="0075385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02F5D"/>
    <w:multiLevelType w:val="hybridMultilevel"/>
    <w:tmpl w:val="6434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86E44"/>
    <w:multiLevelType w:val="hybridMultilevel"/>
    <w:tmpl w:val="0E4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6185088">
    <w:abstractNumId w:val="2"/>
  </w:num>
  <w:num w:numId="2" w16cid:durableId="2119326978">
    <w:abstractNumId w:val="3"/>
  </w:num>
  <w:num w:numId="3" w16cid:durableId="2016881546">
    <w:abstractNumId w:val="18"/>
  </w:num>
  <w:num w:numId="4" w16cid:durableId="949163121">
    <w:abstractNumId w:val="1"/>
  </w:num>
  <w:num w:numId="5" w16cid:durableId="549614280">
    <w:abstractNumId w:val="5"/>
  </w:num>
  <w:num w:numId="6" w16cid:durableId="1453984304">
    <w:abstractNumId w:val="19"/>
  </w:num>
  <w:num w:numId="7" w16cid:durableId="686717111">
    <w:abstractNumId w:val="12"/>
  </w:num>
  <w:num w:numId="8" w16cid:durableId="2095590582">
    <w:abstractNumId w:val="8"/>
  </w:num>
  <w:num w:numId="9" w16cid:durableId="1247153582">
    <w:abstractNumId w:val="7"/>
  </w:num>
  <w:num w:numId="10" w16cid:durableId="732853828">
    <w:abstractNumId w:val="2"/>
  </w:num>
  <w:num w:numId="11" w16cid:durableId="918053067">
    <w:abstractNumId w:val="0"/>
  </w:num>
  <w:num w:numId="12" w16cid:durableId="367880264">
    <w:abstractNumId w:val="17"/>
  </w:num>
  <w:num w:numId="13" w16cid:durableId="1307080358">
    <w:abstractNumId w:val="16"/>
  </w:num>
  <w:num w:numId="14" w16cid:durableId="1563909916">
    <w:abstractNumId w:val="6"/>
  </w:num>
  <w:num w:numId="15" w16cid:durableId="1666469141">
    <w:abstractNumId w:val="10"/>
  </w:num>
  <w:num w:numId="16" w16cid:durableId="1447650924">
    <w:abstractNumId w:val="9"/>
  </w:num>
  <w:num w:numId="17" w16cid:durableId="1953975297">
    <w:abstractNumId w:val="13"/>
  </w:num>
  <w:num w:numId="18" w16cid:durableId="1396664793">
    <w:abstractNumId w:val="14"/>
  </w:num>
  <w:num w:numId="19" w16cid:durableId="1406027305">
    <w:abstractNumId w:val="4"/>
  </w:num>
  <w:num w:numId="20" w16cid:durableId="987325410">
    <w:abstractNumId w:val="2"/>
  </w:num>
  <w:num w:numId="21" w16cid:durableId="584726844">
    <w:abstractNumId w:val="2"/>
  </w:num>
  <w:num w:numId="22" w16cid:durableId="855971353">
    <w:abstractNumId w:val="11"/>
  </w:num>
  <w:num w:numId="23" w16cid:durableId="198234123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57A1E"/>
    <w:rsid w:val="00060BD3"/>
    <w:rsid w:val="00062315"/>
    <w:rsid w:val="0006547F"/>
    <w:rsid w:val="0007220D"/>
    <w:rsid w:val="0007468C"/>
    <w:rsid w:val="00081D5D"/>
    <w:rsid w:val="000901C8"/>
    <w:rsid w:val="00090A02"/>
    <w:rsid w:val="00091E77"/>
    <w:rsid w:val="00094CCD"/>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2914"/>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12E"/>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2EBE"/>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D57ED"/>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B23"/>
    <w:rsid w:val="00214CAF"/>
    <w:rsid w:val="00215721"/>
    <w:rsid w:val="0021780D"/>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2EED"/>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43D1E"/>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7AA"/>
    <w:rsid w:val="003C6DA3"/>
    <w:rsid w:val="003C6EC0"/>
    <w:rsid w:val="003D36D2"/>
    <w:rsid w:val="003D5329"/>
    <w:rsid w:val="003D6204"/>
    <w:rsid w:val="003D6858"/>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0C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15B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208"/>
    <w:rsid w:val="005C329B"/>
    <w:rsid w:val="005C369E"/>
    <w:rsid w:val="005C3EF1"/>
    <w:rsid w:val="005D24B0"/>
    <w:rsid w:val="005D27B4"/>
    <w:rsid w:val="005D2864"/>
    <w:rsid w:val="005D2ADC"/>
    <w:rsid w:val="005D358B"/>
    <w:rsid w:val="005D37D2"/>
    <w:rsid w:val="005D4075"/>
    <w:rsid w:val="005D5940"/>
    <w:rsid w:val="005D6B82"/>
    <w:rsid w:val="005D7C76"/>
    <w:rsid w:val="005E25BB"/>
    <w:rsid w:val="005E3557"/>
    <w:rsid w:val="005E390F"/>
    <w:rsid w:val="005F1824"/>
    <w:rsid w:val="005F3203"/>
    <w:rsid w:val="005F6625"/>
    <w:rsid w:val="005F7938"/>
    <w:rsid w:val="00601249"/>
    <w:rsid w:val="00601AD0"/>
    <w:rsid w:val="00601C8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52E3"/>
    <w:rsid w:val="00687E2D"/>
    <w:rsid w:val="00690E1E"/>
    <w:rsid w:val="00694647"/>
    <w:rsid w:val="00695C4C"/>
    <w:rsid w:val="00695CD0"/>
    <w:rsid w:val="006A317C"/>
    <w:rsid w:val="006A5A42"/>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D5498"/>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0AF"/>
    <w:rsid w:val="007378B2"/>
    <w:rsid w:val="00740543"/>
    <w:rsid w:val="00740D3F"/>
    <w:rsid w:val="007425A6"/>
    <w:rsid w:val="00746C36"/>
    <w:rsid w:val="00746E86"/>
    <w:rsid w:val="00753858"/>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7C68"/>
    <w:rsid w:val="00822047"/>
    <w:rsid w:val="00822100"/>
    <w:rsid w:val="00822810"/>
    <w:rsid w:val="00822DAD"/>
    <w:rsid w:val="0082620D"/>
    <w:rsid w:val="00826302"/>
    <w:rsid w:val="0082632F"/>
    <w:rsid w:val="00827987"/>
    <w:rsid w:val="00836222"/>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14A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E7733"/>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36"/>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5F6A"/>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005"/>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6917"/>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E68E7"/>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0E48"/>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C6D08"/>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85C"/>
    <w:rsid w:val="00D06C52"/>
    <w:rsid w:val="00D06DBF"/>
    <w:rsid w:val="00D11821"/>
    <w:rsid w:val="00D13515"/>
    <w:rsid w:val="00D13F3A"/>
    <w:rsid w:val="00D2111E"/>
    <w:rsid w:val="00D22D60"/>
    <w:rsid w:val="00D23FE2"/>
    <w:rsid w:val="00D240A3"/>
    <w:rsid w:val="00D2490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3403"/>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3772"/>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2423"/>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1F8"/>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CAA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EBD1-7F83-4438-8C66-DBEC2B35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15152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2017-03-01T21:31:00Z</cp:lastPrinted>
  <dcterms:created xsi:type="dcterms:W3CDTF">2025-06-05T18:48:00Z</dcterms:created>
  <dcterms:modified xsi:type="dcterms:W3CDTF">2025-06-05T18:48:00Z</dcterms:modified>
</cp:coreProperties>
</file>