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42" w:rsidRPr="00811F42" w:rsidRDefault="00811F42" w:rsidP="00811F42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811F42">
        <w:rPr>
          <w:sz w:val="32"/>
          <w:szCs w:val="32"/>
        </w:rPr>
        <w:t>Information Governance Initiative</w:t>
      </w:r>
    </w:p>
    <w:p w:rsidR="00811F42" w:rsidRDefault="00811F42" w:rsidP="00811F42">
      <w:pPr>
        <w:spacing w:after="0" w:line="240" w:lineRule="auto"/>
        <w:jc w:val="center"/>
      </w:pPr>
      <w:r>
        <w:t xml:space="preserve">Progress Report as of </w:t>
      </w:r>
      <w:r w:rsidR="000B7A9C">
        <w:t xml:space="preserve">February </w:t>
      </w:r>
      <w:r>
        <w:t>1</w:t>
      </w:r>
      <w:r w:rsidR="00864025">
        <w:t>2</w:t>
      </w:r>
      <w:r>
        <w:t>, 201</w:t>
      </w:r>
      <w:r w:rsidR="000B7A9C">
        <w:t>5</w:t>
      </w:r>
    </w:p>
    <w:p w:rsidR="00811F42" w:rsidRDefault="00811F42" w:rsidP="00811F42">
      <w:pPr>
        <w:spacing w:after="0" w:line="240" w:lineRule="auto"/>
      </w:pPr>
    </w:p>
    <w:p w:rsidR="00793018" w:rsidRDefault="00344014" w:rsidP="00C8712A">
      <w:pPr>
        <w:spacing w:after="0" w:line="240" w:lineRule="auto"/>
      </w:pPr>
      <w:r>
        <w:t xml:space="preserve">Below </w:t>
      </w:r>
      <w:r w:rsidR="000B7A9C">
        <w:t xml:space="preserve">is an update </w:t>
      </w:r>
      <w:r w:rsidR="00811F42">
        <w:t>on the Information Governance Initiative</w:t>
      </w:r>
      <w:r w:rsidR="00E95726">
        <w:t>, broken down by team</w:t>
      </w:r>
      <w:r w:rsidR="00811F42">
        <w:t xml:space="preserve">.  </w:t>
      </w:r>
    </w:p>
    <w:p w:rsidR="00E95726" w:rsidRDefault="00E95726" w:rsidP="00C8712A">
      <w:pPr>
        <w:spacing w:after="0" w:line="240" w:lineRule="auto"/>
      </w:pPr>
    </w:p>
    <w:p w:rsidR="001E41E1" w:rsidRPr="002D2C93" w:rsidRDefault="00E95726" w:rsidP="00C8712A">
      <w:pPr>
        <w:spacing w:after="0" w:line="240" w:lineRule="auto"/>
        <w:rPr>
          <w:b/>
        </w:rPr>
      </w:pPr>
      <w:r w:rsidRPr="002D2C93">
        <w:rPr>
          <w:b/>
        </w:rPr>
        <w:t xml:space="preserve">Principles and </w:t>
      </w:r>
      <w:r w:rsidR="001E41E1" w:rsidRPr="002D2C93">
        <w:rPr>
          <w:b/>
        </w:rPr>
        <w:t>Governance Group</w:t>
      </w:r>
    </w:p>
    <w:p w:rsidR="003D4577" w:rsidRPr="003D4577" w:rsidRDefault="003D4577" w:rsidP="003D4577">
      <w:pPr>
        <w:spacing w:after="0" w:line="240" w:lineRule="auto"/>
        <w:rPr>
          <w:rFonts w:cs="Arial"/>
        </w:rPr>
      </w:pPr>
      <w:r>
        <w:t xml:space="preserve">The purpose of this group is to </w:t>
      </w:r>
      <w:r>
        <w:rPr>
          <w:rFonts w:cs="Arial"/>
        </w:rPr>
        <w:t>h</w:t>
      </w:r>
      <w:r w:rsidRPr="003D4577">
        <w:rPr>
          <w:rFonts w:cs="Arial"/>
        </w:rPr>
        <w:t>elp agencies overcome the cultural and operational barriers to implementing their own Information Governance initiatives, and provide a roadmap for implementation</w:t>
      </w:r>
      <w:r>
        <w:rPr>
          <w:rFonts w:cs="Arial"/>
        </w:rPr>
        <w:t>.</w:t>
      </w:r>
      <w:r w:rsidRPr="003D4577">
        <w:rPr>
          <w:rFonts w:cs="Arial"/>
        </w:rPr>
        <w:t xml:space="preserve"> </w:t>
      </w:r>
    </w:p>
    <w:p w:rsidR="003D4577" w:rsidRDefault="003D4577" w:rsidP="00C8712A">
      <w:pPr>
        <w:spacing w:after="0" w:line="240" w:lineRule="auto"/>
      </w:pPr>
    </w:p>
    <w:p w:rsidR="00810A6C" w:rsidRDefault="00C22F02" w:rsidP="00C8712A">
      <w:pPr>
        <w:spacing w:after="0" w:line="240" w:lineRule="auto"/>
      </w:pPr>
      <w:r>
        <w:t xml:space="preserve">The team </w:t>
      </w:r>
      <w:r w:rsidR="007C3D6B">
        <w:t xml:space="preserve">developed a set of </w:t>
      </w:r>
      <w:r>
        <w:t>upbeat</w:t>
      </w:r>
      <w:r w:rsidR="0000195E">
        <w:t xml:space="preserve"> and</w:t>
      </w:r>
      <w:r>
        <w:t xml:space="preserve"> humorous</w:t>
      </w:r>
      <w:r w:rsidR="007C3D6B">
        <w:t xml:space="preserve"> “Myth Busters” </w:t>
      </w:r>
      <w:r>
        <w:t xml:space="preserve">to address the most common misconceptions that impede </w:t>
      </w:r>
      <w:r w:rsidR="007C3D6B">
        <w:t xml:space="preserve">Information Governance </w:t>
      </w:r>
      <w:r>
        <w:t>progress</w:t>
      </w:r>
      <w:r w:rsidR="007C3D6B">
        <w:t>.</w:t>
      </w:r>
      <w:r>
        <w:t xml:space="preserve">  </w:t>
      </w:r>
      <w:r w:rsidR="0073794E">
        <w:t xml:space="preserve">Developed by </w:t>
      </w:r>
      <w:r w:rsidR="007C3D6B">
        <w:t xml:space="preserve">our state’s leading </w:t>
      </w:r>
      <w:r w:rsidR="005C4F29">
        <w:t xml:space="preserve">records </w:t>
      </w:r>
      <w:r w:rsidR="00810A6C">
        <w:t>managers, public disclosure officers, and attorneys</w:t>
      </w:r>
      <w:r w:rsidR="0073794E">
        <w:t xml:space="preserve">, </w:t>
      </w:r>
      <w:r w:rsidR="005C4F29">
        <w:t>these</w:t>
      </w:r>
      <w:r w:rsidR="0073794E">
        <w:t xml:space="preserve"> will be a great resource to agencies</w:t>
      </w:r>
      <w:r w:rsidR="001A4C9D">
        <w:t xml:space="preserve">.  </w:t>
      </w:r>
    </w:p>
    <w:p w:rsidR="004875AB" w:rsidRDefault="004875AB" w:rsidP="00C8712A">
      <w:pPr>
        <w:spacing w:after="0" w:line="240" w:lineRule="auto"/>
      </w:pPr>
    </w:p>
    <w:p w:rsidR="007C3D6B" w:rsidRDefault="0042093D" w:rsidP="00C8712A">
      <w:pPr>
        <w:spacing w:after="0" w:line="240" w:lineRule="auto"/>
      </w:pPr>
      <w:r>
        <w:t xml:space="preserve">The team is </w:t>
      </w:r>
      <w:r w:rsidR="007C3D6B">
        <w:t>also working on a statewide Information Governance website to serve as a focal point for this initiative</w:t>
      </w:r>
      <w:r w:rsidR="00D33392">
        <w:t xml:space="preserve"> and </w:t>
      </w:r>
      <w:r w:rsidR="004309E8">
        <w:t xml:space="preserve">to </w:t>
      </w:r>
      <w:r w:rsidR="00D33392">
        <w:t>provide related documents</w:t>
      </w:r>
      <w:r w:rsidR="007C3D6B">
        <w:t xml:space="preserve">. </w:t>
      </w:r>
      <w:r w:rsidR="008900BA">
        <w:t xml:space="preserve"> More deliverables are planned that provide</w:t>
      </w:r>
      <w:r w:rsidR="005C4F29">
        <w:t xml:space="preserve"> a roadmap for a</w:t>
      </w:r>
      <w:r w:rsidR="008900BA">
        <w:t>gencies to proceed with their own initiatives.</w:t>
      </w:r>
      <w:r w:rsidR="007C3D6B">
        <w:t xml:space="preserve">   </w:t>
      </w:r>
    </w:p>
    <w:p w:rsidR="007C3D6B" w:rsidRDefault="007C3D6B" w:rsidP="00C8712A">
      <w:pPr>
        <w:spacing w:after="0" w:line="240" w:lineRule="auto"/>
      </w:pPr>
    </w:p>
    <w:p w:rsidR="001E41E1" w:rsidRPr="002D2C93" w:rsidRDefault="001E41E1" w:rsidP="00C8712A">
      <w:pPr>
        <w:spacing w:after="0" w:line="240" w:lineRule="auto"/>
        <w:rPr>
          <w:b/>
        </w:rPr>
      </w:pPr>
      <w:r w:rsidRPr="002D2C93">
        <w:rPr>
          <w:b/>
        </w:rPr>
        <w:t>E</w:t>
      </w:r>
      <w:r w:rsidR="006E48AF" w:rsidRPr="002D2C93">
        <w:rPr>
          <w:b/>
        </w:rPr>
        <w:t xml:space="preserve">nterprise </w:t>
      </w:r>
      <w:r w:rsidRPr="002D2C93">
        <w:rPr>
          <w:b/>
        </w:rPr>
        <w:t>C</w:t>
      </w:r>
      <w:r w:rsidR="006E48AF" w:rsidRPr="002D2C93">
        <w:rPr>
          <w:b/>
        </w:rPr>
        <w:t xml:space="preserve">ontent </w:t>
      </w:r>
      <w:r w:rsidRPr="002D2C93">
        <w:rPr>
          <w:b/>
        </w:rPr>
        <w:t>M</w:t>
      </w:r>
      <w:r w:rsidR="006E48AF" w:rsidRPr="002D2C93">
        <w:rPr>
          <w:b/>
        </w:rPr>
        <w:t>anagement (ECM) S</w:t>
      </w:r>
      <w:r w:rsidRPr="002D2C93">
        <w:rPr>
          <w:b/>
        </w:rPr>
        <w:t>election Team</w:t>
      </w:r>
    </w:p>
    <w:p w:rsidR="009E5375" w:rsidRDefault="008900BA" w:rsidP="00C8712A">
      <w:pPr>
        <w:spacing w:after="0" w:line="240" w:lineRule="auto"/>
      </w:pPr>
      <w:r>
        <w:t xml:space="preserve">The </w:t>
      </w:r>
      <w:r w:rsidR="00274187">
        <w:t>R</w:t>
      </w:r>
      <w:r w:rsidR="007C3D6B">
        <w:t>equest for Proposal (R</w:t>
      </w:r>
      <w:r w:rsidR="00274187">
        <w:t>FP</w:t>
      </w:r>
      <w:r w:rsidR="007C3D6B">
        <w:t>)</w:t>
      </w:r>
      <w:r w:rsidR="00274187">
        <w:t xml:space="preserve"> was issued December 19, 2014</w:t>
      </w:r>
      <w:r w:rsidR="00D33392">
        <w:t xml:space="preserve">.  Prior to issuance, the requirements and evaluation process were reviewed and approved by </w:t>
      </w:r>
      <w:r>
        <w:t>agency CIOs, records managers, and Gartner Group.</w:t>
      </w:r>
      <w:r w:rsidR="005C4F29">
        <w:t xml:space="preserve">  </w:t>
      </w:r>
    </w:p>
    <w:p w:rsidR="009E5375" w:rsidRDefault="009E5375" w:rsidP="00C8712A">
      <w:pPr>
        <w:spacing w:after="0" w:line="240" w:lineRule="auto"/>
      </w:pPr>
    </w:p>
    <w:p w:rsidR="008900BA" w:rsidRDefault="005C4F29" w:rsidP="00C8712A">
      <w:pPr>
        <w:spacing w:after="0" w:line="240" w:lineRule="auto"/>
      </w:pPr>
      <w:r>
        <w:t xml:space="preserve">Key RFP dates </w:t>
      </w:r>
      <w:r w:rsidR="001A2659">
        <w:t>include:</w:t>
      </w:r>
    </w:p>
    <w:p w:rsidR="008900BA" w:rsidRDefault="00605C0C" w:rsidP="00C8712A">
      <w:pPr>
        <w:spacing w:after="0" w:line="240" w:lineRule="auto"/>
      </w:pPr>
      <w:r>
        <w:t>V</w:t>
      </w:r>
      <w:r w:rsidR="00274187">
        <w:t>endor question and answer period</w:t>
      </w:r>
      <w:r w:rsidR="005C4F29">
        <w:t xml:space="preserve"> closed</w:t>
      </w:r>
      <w:r w:rsidR="00BD0DA6">
        <w:t>:</w:t>
      </w:r>
      <w:r w:rsidR="005C4F29">
        <w:t xml:space="preserve"> </w:t>
      </w:r>
      <w:r w:rsidR="001A2659">
        <w:tab/>
      </w:r>
      <w:r w:rsidR="005C4F29">
        <w:t xml:space="preserve"> </w:t>
      </w:r>
      <w:r w:rsidR="001A2659">
        <w:tab/>
        <w:t xml:space="preserve">February </w:t>
      </w:r>
      <w:r w:rsidR="005C4F29">
        <w:t>10</w:t>
      </w:r>
      <w:r w:rsidR="007C3D6B">
        <w:t>.</w:t>
      </w:r>
    </w:p>
    <w:p w:rsidR="005C4F29" w:rsidRDefault="005C4F29" w:rsidP="00C8712A">
      <w:pPr>
        <w:spacing w:after="0" w:line="240" w:lineRule="auto"/>
      </w:pPr>
      <w:r>
        <w:t>Bids are due</w:t>
      </w:r>
      <w:r w:rsidR="00BD0DA6">
        <w:t>:</w:t>
      </w:r>
      <w:r>
        <w:t xml:space="preserve"> </w:t>
      </w:r>
      <w:r w:rsidR="001A2659">
        <w:tab/>
      </w:r>
      <w:r w:rsidR="001A2659">
        <w:tab/>
      </w:r>
      <w:r w:rsidR="001A2659">
        <w:tab/>
      </w:r>
      <w:r w:rsidR="001A2659">
        <w:tab/>
      </w:r>
      <w:r w:rsidR="001A2659">
        <w:tab/>
      </w:r>
      <w:r w:rsidR="001A2659">
        <w:tab/>
      </w:r>
      <w:r>
        <w:t>March 10</w:t>
      </w:r>
    </w:p>
    <w:p w:rsidR="001A2659" w:rsidRDefault="001A2659" w:rsidP="00C8712A">
      <w:pPr>
        <w:spacing w:after="0" w:line="240" w:lineRule="auto"/>
      </w:pPr>
      <w:r>
        <w:t>Announce Round 1 Finalists</w:t>
      </w:r>
      <w:r w:rsidR="00BD0DA6">
        <w:t>:</w:t>
      </w:r>
      <w:r>
        <w:t xml:space="preserve"> </w:t>
      </w:r>
      <w:r>
        <w:tab/>
      </w:r>
      <w:r>
        <w:tab/>
      </w:r>
      <w:r>
        <w:tab/>
      </w:r>
      <w:r>
        <w:tab/>
        <w:t>April 6</w:t>
      </w:r>
      <w:r>
        <w:tab/>
      </w:r>
      <w:r>
        <w:tab/>
      </w:r>
      <w:r>
        <w:tab/>
      </w:r>
      <w:r>
        <w:tab/>
      </w:r>
    </w:p>
    <w:p w:rsidR="008900BA" w:rsidRDefault="001A2659" w:rsidP="00C8712A">
      <w:pPr>
        <w:spacing w:after="0" w:line="240" w:lineRule="auto"/>
      </w:pPr>
      <w:r>
        <w:t xml:space="preserve">Round 2 </w:t>
      </w:r>
      <w:r w:rsidR="00BD0DA6">
        <w:t>v</w:t>
      </w:r>
      <w:r w:rsidR="008900BA">
        <w:t>endor demonstrations</w:t>
      </w:r>
      <w:r w:rsidR="00BD0DA6">
        <w:t>:</w:t>
      </w:r>
      <w:r>
        <w:tab/>
      </w:r>
      <w:r>
        <w:tab/>
      </w:r>
      <w:r>
        <w:tab/>
        <w:t>April 20 - 29</w:t>
      </w:r>
      <w:r>
        <w:tab/>
      </w:r>
      <w:r>
        <w:tab/>
      </w:r>
      <w:r>
        <w:tab/>
      </w:r>
      <w:r w:rsidR="008900BA">
        <w:t xml:space="preserve"> </w:t>
      </w:r>
    </w:p>
    <w:p w:rsidR="008900BA" w:rsidRDefault="008900BA" w:rsidP="00C8712A">
      <w:pPr>
        <w:spacing w:after="0" w:line="240" w:lineRule="auto"/>
      </w:pPr>
      <w:r>
        <w:t>Announce Apparent Successful Bidders</w:t>
      </w:r>
      <w:r w:rsidR="00BD0DA6">
        <w:t xml:space="preserve">: </w:t>
      </w:r>
      <w:r w:rsidR="00BD0DA6">
        <w:tab/>
      </w:r>
      <w:r w:rsidR="00BD0DA6">
        <w:tab/>
      </w:r>
      <w:r w:rsidR="001A2659">
        <w:tab/>
        <w:t>May 1</w:t>
      </w:r>
    </w:p>
    <w:p w:rsidR="008900BA" w:rsidRDefault="008900BA" w:rsidP="00C8712A">
      <w:pPr>
        <w:spacing w:after="0" w:line="240" w:lineRule="auto"/>
      </w:pPr>
      <w:r>
        <w:t xml:space="preserve">Contract negotiations </w:t>
      </w:r>
      <w:r w:rsidR="00BD0DA6">
        <w:t>begin:</w:t>
      </w:r>
      <w:r w:rsidR="001A2659">
        <w:tab/>
      </w:r>
      <w:r w:rsidR="001A2659">
        <w:tab/>
      </w:r>
      <w:r w:rsidR="001A2659">
        <w:tab/>
      </w:r>
      <w:r w:rsidR="001A2659">
        <w:tab/>
        <w:t>Week of May 11</w:t>
      </w:r>
    </w:p>
    <w:p w:rsidR="008900BA" w:rsidRDefault="008900BA" w:rsidP="00C8712A">
      <w:pPr>
        <w:spacing w:after="0" w:line="240" w:lineRule="auto"/>
      </w:pPr>
    </w:p>
    <w:p w:rsidR="00121600" w:rsidRDefault="00121600" w:rsidP="00C8712A">
      <w:pPr>
        <w:spacing w:after="0" w:line="240" w:lineRule="auto"/>
      </w:pPr>
      <w:r>
        <w:t>During the vendor question period the team modified the pricing model to ensure that contracts aggregate the purchasing power of state and local government. The schedule was extended 2 ½ weeks to allow vendors adequate time to adjust their pricing proposal.</w:t>
      </w:r>
    </w:p>
    <w:p w:rsidR="00A02D62" w:rsidRDefault="00A02D62" w:rsidP="00C8712A">
      <w:pPr>
        <w:spacing w:after="0" w:line="240" w:lineRule="auto"/>
      </w:pPr>
    </w:p>
    <w:p w:rsidR="00C57818" w:rsidRDefault="00C57818" w:rsidP="00C8712A">
      <w:pPr>
        <w:spacing w:after="0" w:line="240" w:lineRule="auto"/>
      </w:pPr>
      <w:r>
        <w:t xml:space="preserve">A multi-agency, multi-disciplinary evaluation team </w:t>
      </w:r>
      <w:r w:rsidR="00C23A9C">
        <w:t>will</w:t>
      </w:r>
      <w:r>
        <w:t xml:space="preserve"> select 3 – 5 successful vendors.  </w:t>
      </w:r>
      <w:r w:rsidR="00605C0C">
        <w:t>There</w:t>
      </w:r>
      <w:r w:rsidR="001C3EDF">
        <w:t xml:space="preserve"> is</w:t>
      </w:r>
      <w:r w:rsidR="00605C0C">
        <w:t xml:space="preserve"> high agency demand to </w:t>
      </w:r>
      <w:r>
        <w:t xml:space="preserve">observe the </w:t>
      </w:r>
      <w:r w:rsidR="001C3EDF">
        <w:t xml:space="preserve">vendor </w:t>
      </w:r>
      <w:r>
        <w:t>demonstrations, but in order to pres</w:t>
      </w:r>
      <w:r w:rsidR="004309E8">
        <w:t xml:space="preserve">erve the competitive process, </w:t>
      </w:r>
      <w:r>
        <w:t>vendor fair</w:t>
      </w:r>
      <w:r w:rsidR="004309E8">
        <w:t>s in eastern and western Washington</w:t>
      </w:r>
      <w:r>
        <w:t xml:space="preserve"> will be organized when contracts are in place.  In addition to state agencies, numerous local government entities are following this acquisition with a high degree of interest.  Oklahoma and North Dakota</w:t>
      </w:r>
      <w:r w:rsidR="001C3EDF">
        <w:t xml:space="preserve"> are following this initiative as well</w:t>
      </w:r>
      <w:r>
        <w:t xml:space="preserve">.    </w:t>
      </w:r>
    </w:p>
    <w:p w:rsidR="00C57818" w:rsidRDefault="00C57818" w:rsidP="00C8712A">
      <w:pPr>
        <w:spacing w:after="0" w:line="240" w:lineRule="auto"/>
      </w:pPr>
    </w:p>
    <w:p w:rsidR="008900BA" w:rsidRDefault="00200C22" w:rsidP="00C8712A">
      <w:pPr>
        <w:spacing w:after="0" w:line="240" w:lineRule="auto"/>
      </w:pPr>
      <w:r>
        <w:t xml:space="preserve">Special thanks goes to Wendy Walker, our RFP Coordinator, </w:t>
      </w:r>
      <w:r w:rsidR="0000195E">
        <w:t xml:space="preserve">for </w:t>
      </w:r>
      <w:r>
        <w:t>pushing this</w:t>
      </w:r>
      <w:r w:rsidR="001C3EDF">
        <w:t xml:space="preserve"> sizable p</w:t>
      </w:r>
      <w:r>
        <w:t>rocurement through with class and</w:t>
      </w:r>
      <w:r w:rsidR="0000195E">
        <w:t xml:space="preserve"> tireless</w:t>
      </w:r>
      <w:r>
        <w:t xml:space="preserve"> perseverance.  </w:t>
      </w:r>
      <w:r w:rsidR="008900BA">
        <w:t xml:space="preserve">  </w:t>
      </w:r>
    </w:p>
    <w:p w:rsidR="0056484B" w:rsidRDefault="007C3D6B" w:rsidP="00C8712A">
      <w:pPr>
        <w:spacing w:after="0" w:line="240" w:lineRule="auto"/>
      </w:pPr>
      <w:r>
        <w:t xml:space="preserve">  </w:t>
      </w:r>
      <w:r w:rsidR="00B71359">
        <w:t xml:space="preserve">   </w:t>
      </w:r>
      <w:r w:rsidR="007414FA">
        <w:t xml:space="preserve"> </w:t>
      </w:r>
    </w:p>
    <w:p w:rsidR="001E41E1" w:rsidRPr="00E83394" w:rsidRDefault="009260F4" w:rsidP="00C8712A">
      <w:pPr>
        <w:spacing w:after="0" w:line="240" w:lineRule="auto"/>
        <w:rPr>
          <w:b/>
        </w:rPr>
      </w:pPr>
      <w:r w:rsidRPr="00E83394">
        <w:rPr>
          <w:b/>
        </w:rPr>
        <w:t>Consultant Selection Team</w:t>
      </w:r>
    </w:p>
    <w:p w:rsidR="009260F4" w:rsidRDefault="009260F4" w:rsidP="00C8712A">
      <w:pPr>
        <w:spacing w:after="0" w:line="240" w:lineRule="auto"/>
      </w:pPr>
      <w:r>
        <w:t xml:space="preserve">Through DES, this team will </w:t>
      </w:r>
      <w:r w:rsidR="00E83394">
        <w:t>e</w:t>
      </w:r>
      <w:r>
        <w:t>stablish ITPS contracts for consultants to help agencies implement ECM systems.  The team chose to hold on th</w:t>
      </w:r>
      <w:r w:rsidR="00E83394">
        <w:t xml:space="preserve">is </w:t>
      </w:r>
      <w:r>
        <w:t xml:space="preserve">acquisition </w:t>
      </w:r>
      <w:r w:rsidR="000C4A6B">
        <w:t>until the ECM RFP is completed since that RFP will include professional services.</w:t>
      </w:r>
      <w:r w:rsidR="00E83394">
        <w:t xml:space="preserve">  </w:t>
      </w:r>
      <w:r>
        <w:t xml:space="preserve">     </w:t>
      </w:r>
    </w:p>
    <w:p w:rsidR="001E41E1" w:rsidRDefault="001E41E1" w:rsidP="00C8712A">
      <w:pPr>
        <w:spacing w:after="0" w:line="240" w:lineRule="auto"/>
      </w:pPr>
    </w:p>
    <w:p w:rsidR="001E41E1" w:rsidRPr="00E83394" w:rsidRDefault="001E41E1" w:rsidP="00C8712A">
      <w:pPr>
        <w:spacing w:after="0" w:line="240" w:lineRule="auto"/>
        <w:rPr>
          <w:b/>
        </w:rPr>
      </w:pPr>
      <w:r w:rsidRPr="00E83394">
        <w:rPr>
          <w:b/>
        </w:rPr>
        <w:t>Proof of Concept</w:t>
      </w:r>
      <w:r w:rsidR="00CA638A">
        <w:rPr>
          <w:b/>
        </w:rPr>
        <w:t xml:space="preserve"> Team</w:t>
      </w:r>
    </w:p>
    <w:p w:rsidR="001E41E1" w:rsidRDefault="001C3EDF" w:rsidP="00C8712A">
      <w:pPr>
        <w:spacing w:after="0" w:line="240" w:lineRule="auto"/>
      </w:pPr>
      <w:r>
        <w:t xml:space="preserve">An </w:t>
      </w:r>
      <w:r w:rsidR="00E83394">
        <w:t>ECM proof of concept project</w:t>
      </w:r>
      <w:r w:rsidR="00B465FE">
        <w:t xml:space="preserve"> is going through contract review </w:t>
      </w:r>
      <w:r w:rsidR="009C203B">
        <w:t xml:space="preserve">at the </w:t>
      </w:r>
      <w:r w:rsidR="00E83394">
        <w:t>Department of Financial Institutions.</w:t>
      </w:r>
      <w:r>
        <w:t xml:space="preserve">  </w:t>
      </w:r>
    </w:p>
    <w:p w:rsidR="00E83394" w:rsidRDefault="00E83394" w:rsidP="00C8712A">
      <w:pPr>
        <w:spacing w:after="0" w:line="240" w:lineRule="auto"/>
      </w:pPr>
    </w:p>
    <w:p w:rsidR="001E41E1" w:rsidRPr="00E83394" w:rsidRDefault="001E41E1" w:rsidP="00C8712A">
      <w:pPr>
        <w:spacing w:after="0" w:line="240" w:lineRule="auto"/>
        <w:rPr>
          <w:b/>
        </w:rPr>
      </w:pPr>
      <w:r w:rsidRPr="00E83394">
        <w:rPr>
          <w:b/>
        </w:rPr>
        <w:t>Communications</w:t>
      </w:r>
      <w:r w:rsidR="00CA638A">
        <w:rPr>
          <w:b/>
        </w:rPr>
        <w:t xml:space="preserve"> Team</w:t>
      </w:r>
    </w:p>
    <w:p w:rsidR="00B30505" w:rsidRDefault="007729BF" w:rsidP="00C8712A">
      <w:pPr>
        <w:spacing w:after="0" w:line="240" w:lineRule="auto"/>
      </w:pPr>
      <w:r>
        <w:t xml:space="preserve">The purpose of this team is to create awareness for the initiative and foster buy-in on information governance principles and guidance.  </w:t>
      </w:r>
    </w:p>
    <w:p w:rsidR="00B30505" w:rsidRDefault="00B30505" w:rsidP="00C8712A">
      <w:pPr>
        <w:spacing w:after="0" w:line="240" w:lineRule="auto"/>
      </w:pPr>
    </w:p>
    <w:p w:rsidR="00097663" w:rsidRDefault="00097663" w:rsidP="00C8712A">
      <w:pPr>
        <w:spacing w:after="0" w:line="240" w:lineRule="auto"/>
      </w:pPr>
      <w:r>
        <w:t>Upcoming communications events include:</w:t>
      </w:r>
    </w:p>
    <w:p w:rsidR="00097663" w:rsidRDefault="00097663" w:rsidP="00C8712A">
      <w:pPr>
        <w:spacing w:after="0" w:line="240" w:lineRule="auto"/>
      </w:pPr>
    </w:p>
    <w:p w:rsidR="00A36F16" w:rsidRDefault="00A36F16" w:rsidP="00A36F1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</w:t>
      </w:r>
      <w:r w:rsidR="00097663">
        <w:t xml:space="preserve">Deputies </w:t>
      </w:r>
      <w:r>
        <w:t xml:space="preserve">February </w:t>
      </w:r>
      <w:r w:rsidR="00097663">
        <w:t>Monthly meeting</w:t>
      </w:r>
      <w:r>
        <w:t>:  S</w:t>
      </w:r>
      <w:r w:rsidR="00097663">
        <w:t>how how and ECM can support agency response</w:t>
      </w:r>
      <w:r>
        <w:t>s to public disclosure requests</w:t>
      </w:r>
    </w:p>
    <w:p w:rsidR="00A36F16" w:rsidRDefault="00A36F16" w:rsidP="00A36F1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Records Management training sessions in </w:t>
      </w:r>
      <w:r w:rsidR="00097663">
        <w:t>March in Whatcom County and Everett</w:t>
      </w:r>
    </w:p>
    <w:p w:rsidR="00A36F16" w:rsidRDefault="00A36F16" w:rsidP="00A36F16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 </w:t>
      </w:r>
      <w:r w:rsidR="00097663">
        <w:t>Association of City and County Information Services annual meet</w:t>
      </w:r>
      <w:r>
        <w:t>ing in April</w:t>
      </w:r>
    </w:p>
    <w:p w:rsidR="00A36F16" w:rsidRDefault="00A36F16" w:rsidP="00A36F16">
      <w:pPr>
        <w:pStyle w:val="ListParagraph"/>
        <w:numPr>
          <w:ilvl w:val="0"/>
          <w:numId w:val="5"/>
        </w:numPr>
        <w:spacing w:after="0" w:line="240" w:lineRule="auto"/>
      </w:pPr>
      <w:r>
        <w:t>N</w:t>
      </w:r>
      <w:r w:rsidR="00097663">
        <w:t>umerous state and local government forums</w:t>
      </w:r>
      <w:r>
        <w:t xml:space="preserve"> visited by staff from the Secretary of State’s Office</w:t>
      </w:r>
    </w:p>
    <w:p w:rsidR="00097663" w:rsidRDefault="00A36F16" w:rsidP="00A36F16">
      <w:pPr>
        <w:pStyle w:val="ListParagraph"/>
        <w:numPr>
          <w:ilvl w:val="0"/>
          <w:numId w:val="5"/>
        </w:numPr>
        <w:spacing w:after="0" w:line="240" w:lineRule="auto"/>
      </w:pPr>
      <w:r>
        <w:t>P</w:t>
      </w:r>
      <w:r w:rsidR="00097663">
        <w:t xml:space="preserve">lans are underway to feature the initiative in two sessions at the Information Processing Managers Association Forum in May.  </w:t>
      </w:r>
    </w:p>
    <w:p w:rsidR="00480FA4" w:rsidRDefault="00480FA4" w:rsidP="00480FA4">
      <w:pPr>
        <w:spacing w:after="0" w:line="240" w:lineRule="auto"/>
      </w:pPr>
      <w:r>
        <w:t xml:space="preserve"> </w:t>
      </w:r>
    </w:p>
    <w:p w:rsidR="00097663" w:rsidRDefault="00097663" w:rsidP="00C8712A">
      <w:pPr>
        <w:spacing w:after="0" w:line="240" w:lineRule="auto"/>
      </w:pPr>
      <w:r>
        <w:t xml:space="preserve">   </w:t>
      </w:r>
    </w:p>
    <w:sectPr w:rsidR="000976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E07" w:rsidRDefault="00FE6E07" w:rsidP="00D5338F">
      <w:pPr>
        <w:spacing w:after="0" w:line="240" w:lineRule="auto"/>
      </w:pPr>
      <w:r>
        <w:separator/>
      </w:r>
    </w:p>
  </w:endnote>
  <w:endnote w:type="continuationSeparator" w:id="0">
    <w:p w:rsidR="00FE6E07" w:rsidRDefault="00FE6E07" w:rsidP="00D5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6386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338F" w:rsidRDefault="00D533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1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338F" w:rsidRDefault="00D53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E07" w:rsidRDefault="00FE6E07" w:rsidP="00D5338F">
      <w:pPr>
        <w:spacing w:after="0" w:line="240" w:lineRule="auto"/>
      </w:pPr>
      <w:r>
        <w:separator/>
      </w:r>
    </w:p>
  </w:footnote>
  <w:footnote w:type="continuationSeparator" w:id="0">
    <w:p w:rsidR="00FE6E07" w:rsidRDefault="00FE6E07" w:rsidP="00D53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D3B11"/>
    <w:multiLevelType w:val="hybridMultilevel"/>
    <w:tmpl w:val="1618D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D3A6A"/>
    <w:multiLevelType w:val="hybridMultilevel"/>
    <w:tmpl w:val="8D5ED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7136D3"/>
    <w:multiLevelType w:val="hybridMultilevel"/>
    <w:tmpl w:val="14068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7B2459"/>
    <w:multiLevelType w:val="hybridMultilevel"/>
    <w:tmpl w:val="4A74BF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BC751D"/>
    <w:multiLevelType w:val="hybridMultilevel"/>
    <w:tmpl w:val="3078E5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E1"/>
    <w:rsid w:val="0000195E"/>
    <w:rsid w:val="00097663"/>
    <w:rsid w:val="000B7A9C"/>
    <w:rsid w:val="000C4A6B"/>
    <w:rsid w:val="00121600"/>
    <w:rsid w:val="00192A53"/>
    <w:rsid w:val="001A2659"/>
    <w:rsid w:val="001A4C9D"/>
    <w:rsid w:val="001C3EDF"/>
    <w:rsid w:val="001E41E1"/>
    <w:rsid w:val="001F06E3"/>
    <w:rsid w:val="00200C22"/>
    <w:rsid w:val="00254B6D"/>
    <w:rsid w:val="00274187"/>
    <w:rsid w:val="002D2C93"/>
    <w:rsid w:val="00330F7D"/>
    <w:rsid w:val="00344014"/>
    <w:rsid w:val="00372FDE"/>
    <w:rsid w:val="003A2F5B"/>
    <w:rsid w:val="003C26DE"/>
    <w:rsid w:val="003C2E98"/>
    <w:rsid w:val="003D4577"/>
    <w:rsid w:val="0042093D"/>
    <w:rsid w:val="004309E8"/>
    <w:rsid w:val="0046798B"/>
    <w:rsid w:val="004745D8"/>
    <w:rsid w:val="00480FA4"/>
    <w:rsid w:val="004875AB"/>
    <w:rsid w:val="0051395D"/>
    <w:rsid w:val="0056484B"/>
    <w:rsid w:val="00583129"/>
    <w:rsid w:val="005C4F29"/>
    <w:rsid w:val="00605C0C"/>
    <w:rsid w:val="006646BF"/>
    <w:rsid w:val="006E48AF"/>
    <w:rsid w:val="0072110B"/>
    <w:rsid w:val="0073794E"/>
    <w:rsid w:val="007414FA"/>
    <w:rsid w:val="007729BF"/>
    <w:rsid w:val="007B6DB8"/>
    <w:rsid w:val="007C3D6B"/>
    <w:rsid w:val="007E157B"/>
    <w:rsid w:val="0080470D"/>
    <w:rsid w:val="00810A6C"/>
    <w:rsid w:val="00811F42"/>
    <w:rsid w:val="00864025"/>
    <w:rsid w:val="00874EFD"/>
    <w:rsid w:val="008900BA"/>
    <w:rsid w:val="008962BE"/>
    <w:rsid w:val="00897B8E"/>
    <w:rsid w:val="008E5783"/>
    <w:rsid w:val="008E7CE1"/>
    <w:rsid w:val="009260F4"/>
    <w:rsid w:val="0093490B"/>
    <w:rsid w:val="009711B0"/>
    <w:rsid w:val="009C203B"/>
    <w:rsid w:val="009E3B1E"/>
    <w:rsid w:val="009E5375"/>
    <w:rsid w:val="00A02D62"/>
    <w:rsid w:val="00A14A74"/>
    <w:rsid w:val="00A36F16"/>
    <w:rsid w:val="00A8121E"/>
    <w:rsid w:val="00B30505"/>
    <w:rsid w:val="00B465FE"/>
    <w:rsid w:val="00B46936"/>
    <w:rsid w:val="00B55320"/>
    <w:rsid w:val="00B71359"/>
    <w:rsid w:val="00BD0DA6"/>
    <w:rsid w:val="00BD344F"/>
    <w:rsid w:val="00BF4699"/>
    <w:rsid w:val="00C22F02"/>
    <w:rsid w:val="00C23A9C"/>
    <w:rsid w:val="00C57818"/>
    <w:rsid w:val="00C8712A"/>
    <w:rsid w:val="00CA638A"/>
    <w:rsid w:val="00CC7376"/>
    <w:rsid w:val="00CD7981"/>
    <w:rsid w:val="00D1213E"/>
    <w:rsid w:val="00D33392"/>
    <w:rsid w:val="00D467D7"/>
    <w:rsid w:val="00D5338F"/>
    <w:rsid w:val="00E83394"/>
    <w:rsid w:val="00E95726"/>
    <w:rsid w:val="00EB1A40"/>
    <w:rsid w:val="00F25B38"/>
    <w:rsid w:val="00FD1304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B5405-3EC2-44AD-AACB-6B036A69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C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38F"/>
  </w:style>
  <w:style w:type="paragraph" w:styleId="Footer">
    <w:name w:val="footer"/>
    <w:basedOn w:val="Normal"/>
    <w:link w:val="FooterChar"/>
    <w:uiPriority w:val="99"/>
    <w:unhideWhenUsed/>
    <w:rsid w:val="00D5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Kirk, Dave (DFI)</dc:creator>
  <cp:lastModifiedBy>Koziara, Leslie</cp:lastModifiedBy>
  <cp:revision>2</cp:revision>
  <cp:lastPrinted>2015-02-13T02:33:00Z</cp:lastPrinted>
  <dcterms:created xsi:type="dcterms:W3CDTF">2015-02-19T17:23:00Z</dcterms:created>
  <dcterms:modified xsi:type="dcterms:W3CDTF">2015-02-19T17:23:00Z</dcterms:modified>
</cp:coreProperties>
</file>